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20055号开放式净值型银行理财计划产品说明书》、《温州银行“金鹿理财-温盈”20055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2020年5月27日</w:t>
            </w:r>
            <w:r>
              <w:rPr>
                <w:rFonts w:hint="eastAsia"/>
                <w:sz w:val="18"/>
                <w:szCs w:val="18"/>
                <w:u w:val="single"/>
              </w:rPr>
              <w:t>至</w:t>
            </w:r>
            <w:r>
              <w:rPr>
                <w:rFonts w:hint="eastAsia"/>
                <w:color w:val="000000"/>
                <w:sz w:val="18"/>
                <w:szCs w:val="18"/>
                <w:u w:val="single"/>
                <w:lang w:val="en-US" w:eastAsia="zh-CN"/>
              </w:rPr>
              <w:t>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：本理财计划成立日为2020年6月3日，从成立日起，每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20055号开放式净值型银行理财计划风险揭示书》、《温州银行“金鹿理财”银行理财计划合约》、《温州银行“金鹿理财-温盈”20055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XZS6mWV6OR8qC03e32MlfQKeos=" w:salt="2MwhaVOrftk5pJgMgTzNM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7E31381C"/>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2025-06-20T09:26:00Z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