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20059号开放式净值型银行理财计划产品说明书》、《温州银行“金鹿理财-温盈”20059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2020年6月10日</w:t>
            </w:r>
            <w:r>
              <w:rPr>
                <w:rFonts w:hint="eastAsia"/>
                <w:sz w:val="18"/>
                <w:szCs w:val="18"/>
                <w:u w:val="single"/>
              </w:rPr>
              <w:t>至</w:t>
            </w:r>
            <w:r>
              <w:rPr>
                <w:rFonts w:hint="eastAsia"/>
                <w:color w:val="000000"/>
                <w:sz w:val="18"/>
                <w:szCs w:val="18"/>
                <w:u w:val="single"/>
                <w:lang w:val="en-US" w:eastAsia="zh-CN"/>
              </w:rPr>
              <w:t>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：本理财计划成立日为2020年6月17日，从成立日起，每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20059号开放式净值型银行理财计划风险揭示书》、《温州银行“金鹿理财”银行理财计划合约》、《温州银行“金鹿理财-温盈”20059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NnxYbUHjGtqXHPFFov8PhcCD5c=" w:salt="Z2apXpDrSB1kwutE+Q0my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5C756EC"/>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2025-07-04T09:20:58Z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