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20004号开放式净值型银行理财计划产品说明书》、《温州银行“金鹿理财-温盈”20004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2020年1月15日</w:t>
            </w:r>
            <w:r>
              <w:rPr>
                <w:rFonts w:hint="eastAsia"/>
                <w:sz w:val="18"/>
                <w:szCs w:val="18"/>
                <w:u w:val="single"/>
              </w:rPr>
              <w:t>至</w:t>
            </w:r>
            <w:r>
              <w:rPr>
                <w:rFonts w:hint="eastAsia"/>
                <w:color w:val="000000"/>
                <w:sz w:val="18"/>
                <w:szCs w:val="18"/>
                <w:u w:val="single"/>
                <w:lang w:val="en-US" w:eastAsia="zh-CN"/>
              </w:rPr>
              <w:t>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20004号开放式净值型银行理财计划风险揭示书》、《温州银行“金鹿理财”银行理财计划合约》、《温州银行“金鹿理财-温盈”20004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oWyiZJp0YGQhkRWqB69J/o57rg=" w:salt="qONB9JvT4YWXYpoM26WeP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DB72DDA"/>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2025-07-11T03:06:19Z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