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20029号开放式净值型银行理财计划产品说明书》、《温州银行“金鹿理财-温盈”20029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2020年3月17日</w:t>
            </w:r>
            <w:r>
              <w:rPr>
                <w:rFonts w:hint="eastAsia"/>
                <w:sz w:val="18"/>
                <w:szCs w:val="18"/>
                <w:u w:val="single"/>
              </w:rPr>
              <w:t>至</w:t>
            </w:r>
            <w:r>
              <w:rPr>
                <w:rFonts w:hint="eastAsia"/>
                <w:color w:val="000000"/>
                <w:sz w:val="18"/>
                <w:szCs w:val="18"/>
                <w:u w:val="single"/>
                <w:lang w:val="en-US" w:eastAsia="zh-CN"/>
              </w:rPr>
              <w:t>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：本理财计划成立日为2020年3月24日，从成立日起，每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20029号开放式净值型银行理财计划风险揭示书》、《温州银行“金鹿理财”银行理财计划合约》、《温州银行“金鹿理财-温盈”20029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QaLvgvEMNx3hFtBr39zrtj/ry8=" w:salt="UqSngZDJ1dhBpRi0QJnY0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9B93E3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2025-07-25T01:45:16Z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