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2号开放式净值型银行理财计划产品说明书》、《温州银行“金鹿理财-普惠月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C1092221000141</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2021年4月29日</w:t>
            </w:r>
            <w:r>
              <w:rPr>
                <w:rFonts w:hint="eastAsia"/>
                <w:sz w:val="18"/>
                <w:szCs w:val="18"/>
                <w:u w:val="single"/>
              </w:rPr>
              <w:t>至</w:t>
            </w:r>
            <w:r>
              <w:rPr>
                <w:rFonts w:hint="eastAsia"/>
                <w:color w:val="000000"/>
                <w:sz w:val="18"/>
                <w:szCs w:val="18"/>
                <w:u w:val="single"/>
                <w:lang w:val="en-US" w:eastAsia="zh-CN"/>
              </w:rPr>
              <w:t>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：本理财计划成立日为2021年5月6日，从成立日起，每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2031年5月6日，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2号开放式净值型银行理财计划风险揭示书》、《温州银行“金鹿理财”银行理财计划合约》、《温州银行“金鹿理财-普惠月享”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9imhW+a/Aqk0C3HzYadnZWIzEI=" w:salt="t61DG6lxkiW2rGWsRt4S5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8E25CF8"/>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2025-08-08T09:24:27Z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