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19006号开放式净值型银行理财计划产品说明书》、《温州银行“金鹿理财-温盈”19006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2019年7月4日</w:t>
            </w:r>
            <w:r>
              <w:rPr>
                <w:rFonts w:hint="eastAsia"/>
                <w:sz w:val="18"/>
                <w:szCs w:val="18"/>
                <w:u w:val="single"/>
              </w:rPr>
              <w:t>至</w:t>
            </w:r>
            <w:r>
              <w:rPr>
                <w:rFonts w:hint="eastAsia"/>
                <w:color w:val="000000"/>
                <w:sz w:val="18"/>
                <w:szCs w:val="18"/>
                <w:u w:val="single"/>
                <w:lang w:val="en-US" w:eastAsia="zh-CN"/>
              </w:rPr>
              <w:t>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：本理财计划成立日为2019年7月10日，从成立日起，每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19006号开放式净值型银行理财计划风险揭示书》、《温州银行“金鹿理财”银行理财计划合约》、《温州银行“金鹿理财-温盈”19006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2DFPe15u5gz1R9Z0vkXF4IZGHw=" w:salt="V94ey+dAdSkNCgNaRsq6q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DA72408"/>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2025-08-08T09:24:28Z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