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19011号开放式净值型银行理财计划产品说明书》、《温州银行“金鹿理财-温盈”19011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2019年7月18日</w:t>
            </w:r>
            <w:r>
              <w:rPr>
                <w:rFonts w:hint="eastAsia"/>
                <w:sz w:val="18"/>
                <w:szCs w:val="18"/>
                <w:u w:val="single"/>
              </w:rPr>
              <w:t>至</w:t>
            </w:r>
            <w:r>
              <w:rPr>
                <w:rFonts w:hint="eastAsia"/>
                <w:color w:val="000000"/>
                <w:sz w:val="18"/>
                <w:szCs w:val="18"/>
                <w:u w:val="single"/>
                <w:lang w:val="en-US" w:eastAsia="zh-CN"/>
              </w:rPr>
              <w:t>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：本理财计划成立日为2019年7月24日，从成立日起，每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19011号开放式净值型银行理财计划风险揭示书》、《温州银行“金鹿理财”银行理财计划合约》、《温州银行“金鹿理财-温盈”19011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jQTb1bB1bh9t3OtOcz1pX0+C2Y=" w:salt="RSlU1Ri0vRRSLCF/ifdtk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43F7B9C"/>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2025-08-08T09:24:26Z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