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第57期28天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2.1%-2.25%</w:t>
            </w:r>
            <w:r>
              <w:rPr>
                <w:rFonts w:hint="eastAsia" w:ascii="宋体" w:hAnsi="宋体" w:eastAsia="宋体"/>
                <w:kern w:val="0"/>
                <w:sz w:val="18"/>
                <w:szCs w:val="18"/>
              </w:rPr>
              <w:t>（年化）</w:t>
            </w:r>
            <w:bookmarkStart w:id="0" w:name="_GoBack"/>
            <w:bookmarkEnd w:id="0"/>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2025年9月11日</w:t>
            </w:r>
            <w:r>
              <w:rPr>
                <w:rFonts w:hint="eastAsia" w:ascii="宋体" w:hAnsi="宋体" w:eastAsia="宋体"/>
                <w:color w:val="000000"/>
                <w:kern w:val="0"/>
                <w:sz w:val="18"/>
                <w:szCs w:val="18"/>
                <w:u w:val="single"/>
                <w:lang w:eastAsia="zh-Hans"/>
              </w:rPr>
              <w:t>至2025年9月17日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d3yYOj/G2Vp5vf3pYSnJz03Bes=" w:salt="E992gC2/LSwtW6VtgRiG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95831BF"/>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2025-08-08T08:55:22Z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