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号开放式净值型银行理财计划产品说明书》、《温州银行“金鹿理财-普惠季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2021年5月27日</w:t>
            </w:r>
            <w:r>
              <w:rPr>
                <w:rFonts w:hint="eastAsia"/>
                <w:sz w:val="18"/>
                <w:szCs w:val="18"/>
                <w:u w:val="single"/>
              </w:rPr>
              <w:t>至</w:t>
            </w:r>
            <w:r>
              <w:rPr>
                <w:rFonts w:hint="eastAsia"/>
                <w:color w:val="000000"/>
                <w:sz w:val="18"/>
                <w:szCs w:val="18"/>
                <w:u w:val="single"/>
                <w:lang w:val="en-US" w:eastAsia="zh-CN"/>
              </w:rPr>
              <w:t>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号开放式净值型银行理财计划风险揭示书》、《温州银行“金鹿理财”银行理财计划合约》、《温州银行“金鹿理财-普惠季享”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4CTiwZ1UdIdtARdvOyxagzxQew=" w:salt="AtD4awUPSTEOyQAtu1BP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7E80FD0"/>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2025-08-15T08:05:31Z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