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号开放式净值型银行理财计划产品说明书》、《温州银行“金鹿理财-普惠季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2021年6月1日</w:t>
            </w:r>
            <w:r>
              <w:rPr>
                <w:rFonts w:hint="eastAsia"/>
                <w:sz w:val="18"/>
                <w:szCs w:val="18"/>
                <w:u w:val="single"/>
              </w:rPr>
              <w:t>至</w:t>
            </w:r>
            <w:r>
              <w:rPr>
                <w:rFonts w:hint="eastAsia"/>
                <w:color w:val="000000"/>
                <w:sz w:val="18"/>
                <w:szCs w:val="18"/>
                <w:u w:val="single"/>
                <w:lang w:val="en-US" w:eastAsia="zh-CN"/>
              </w:rPr>
              <w:t>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：本理财计划成立日为2021年6月8日，从成立日起，每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2号开放式净值型银行理财计划风险揭示书》、《温州银行“金鹿理财”银行理财计划合约》、《温州银行“金鹿理财-普惠季享”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XZTw6HRTW9Ud8jP6pmYknivOmQ=" w:salt="ekF2E1MGeqZdhcdydPpn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6553227"/>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3</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2025-08-22T07:46:17Z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