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19015</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19015号开放式净值型银行理财计划产品说明书》、《温州银行“金鹿理财-温盈”19015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19015</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温盈”19015号开放式净值型银行理财计划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19015</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YJ1015</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C1092219000309</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2019年8月1日</w:t>
            </w:r>
            <w:r>
              <w:rPr>
                <w:rFonts w:hint="eastAsia"/>
                <w:sz w:val="18"/>
                <w:szCs w:val="18"/>
                <w:u w:val="single"/>
              </w:rPr>
              <w:t>至</w:t>
            </w:r>
            <w:r>
              <w:rPr>
                <w:rFonts w:hint="eastAsia"/>
                <w:color w:val="000000"/>
                <w:sz w:val="18"/>
                <w:szCs w:val="18"/>
                <w:u w:val="single"/>
                <w:lang w:val="en-US" w:eastAsia="zh-CN"/>
              </w:rPr>
              <w:t>2019年8月6日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《温州银行“金鹿理财-温盈”19015号开放式净值型（第i期）银行理财计划开放认购（申购）申请书》。投资运作周期到期时，该周期内的资金收益情况根据所投资资产组合的实际运作情况确定。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：本理财计划成立日为2019年8月7日，从成立日起，每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本产品预计到期终止日为2029年8月7日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19015号开放式净值型银行理财计划风险揭示书》、《温州银行“金鹿理财”银行理财计划合约》、《温州银行“金鹿理财-温盈”19015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