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w:t>
      </w:r>
      <w:bookmarkStart w:id="0" w:name="_GoBack"/>
      <w:bookmarkEnd w:id="0"/>
      <w:r>
        <w:rPr>
          <w:rFonts w:hint="eastAsia"/>
          <w:szCs w:val="21"/>
        </w:rPr>
        <w:t>财到期日及业绩比较基准等要素以《温州银行</w:t>
      </w:r>
      <w:r>
        <w:rPr>
          <w:rFonts w:hint="eastAsia" w:ascii="宋体" w:hAnsi="宋体"/>
          <w:color w:val="000000"/>
          <w:szCs w:val="21"/>
        </w:rPr>
        <w:t>“金鹿理财-普惠季享”3号开放式净值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3号开放式净值型银行理财计划产品说明书》、《温州银行“金鹿理财-普惠季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2021年6月8日</w:t>
            </w:r>
            <w:r>
              <w:rPr>
                <w:rFonts w:hint="eastAsia"/>
                <w:sz w:val="18"/>
                <w:szCs w:val="18"/>
                <w:u w:val="single"/>
              </w:rPr>
              <w:t>至</w:t>
            </w:r>
            <w:r>
              <w:rPr>
                <w:rFonts w:hint="eastAsia"/>
                <w:color w:val="000000"/>
                <w:sz w:val="18"/>
                <w:szCs w:val="18"/>
                <w:u w:val="single"/>
                <w:lang w:val="en-US" w:eastAsia="zh-CN"/>
              </w:rPr>
              <w:t>2021年6月14日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：本理财计划成立日为2021年6月15日，从成立日起，每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3号开放式净值型银行理财计划风险揭示书》、《温州银行“金鹿理财”银行理财计划合约》、《温州银行“金鹿理财-普惠季享”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q5u3ZZ+2pFuWKfGgJ8qOcsqeDA=" w:salt="vUwK0Zd05n5c3irp65Bk6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5DB81035"/>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2</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2025-08-29T01:38:49Z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