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19012号开放式净值型银行理财计划产品说明书》、《温州银行“金鹿理财-温盈”19012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2019年7月25日</w:t>
            </w:r>
            <w:r>
              <w:rPr>
                <w:rFonts w:hint="eastAsia"/>
                <w:sz w:val="18"/>
                <w:szCs w:val="18"/>
                <w:u w:val="single"/>
              </w:rPr>
              <w:t>至</w:t>
            </w:r>
            <w:r>
              <w:rPr>
                <w:rFonts w:hint="eastAsia"/>
                <w:color w:val="000000"/>
                <w:sz w:val="18"/>
                <w:szCs w:val="18"/>
                <w:u w:val="single"/>
                <w:lang w:val="en-US" w:eastAsia="zh-CN"/>
              </w:rPr>
              <w:t>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：本理财计划成立日为2019年7月31日，从成立日起，每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19012号开放式净值型银行理财计划风险揭示书》、《温州银行“金鹿理财”银行理财计划合约》、《温州银行“金鹿理财-温盈”19012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e7svAg90QLsJjnMKM5XSGb2z8O4=" w:salt="LYVDGkwrH0xx6N2S4lBs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4A2369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2025-08-29T01:47:12Z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