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“金鹿理财-普惠季享”4号开放式净值</w:t>
      </w:r>
      <w:r>
        <w:rPr>
          <w:rFonts w:hint="eastAsia"/>
          <w:szCs w:val="21"/>
        </w:rPr>
        <w:t>型（第i期）银行理财计划开放认购（申购）申</w:t>
      </w:r>
      <w:bookmarkStart w:id="0" w:name="_GoBack"/>
      <w:bookmarkEnd w:id="0"/>
      <w:r>
        <w:rPr>
          <w:rFonts w:hint="eastAsia"/>
          <w:szCs w:val="21"/>
        </w:rPr>
        <w:t>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4号开放式净值型银行理财计划产品说明书》、《温州银行“金鹿理财-普惠季享”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C1092221000147</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2021年6月16日</w:t>
            </w:r>
            <w:r>
              <w:rPr>
                <w:rFonts w:hint="eastAsia"/>
                <w:sz w:val="18"/>
                <w:szCs w:val="18"/>
                <w:u w:val="single"/>
              </w:rPr>
              <w:t>至</w:t>
            </w:r>
            <w:r>
              <w:rPr>
                <w:rFonts w:hint="eastAsia"/>
                <w:color w:val="000000"/>
                <w:sz w:val="18"/>
                <w:szCs w:val="18"/>
                <w:u w:val="single"/>
                <w:lang w:val="en-US" w:eastAsia="zh-CN"/>
              </w:rPr>
              <w:t>2021年6月21日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本理财计划成立日为2021年6月22日。温州银行有权根据实际募集情况选择产品提前成立，若温州银行采取以上措施，温州银行将就产品相应要素的调整事宜于提前成立日前的一个工作日在温州银行网站予以公告。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：本理财计划成立日为2021年6月22日，从成立日起，每</w:t>
      </w:r>
      <w:r>
        <w:rPr>
          <w:rFonts w:ascii="宋体" w:hAnsi="宋体"/>
          <w:sz w:val="18"/>
        </w:rPr>
        <w:t>【</w:t>
      </w:r>
      <w:r>
        <w:rPr>
          <w:rFonts w:hint="eastAsia" w:ascii="宋体" w:hAnsi="宋体"/>
          <w:color w:val="000000"/>
          <w:sz w:val="18"/>
        </w:rPr>
        <w:t>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本产品预计到期终止日为2031年6月22日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4号开放式净值型银行理财计划风险揭示书》、《温州银行“金鹿理财”银行理财计划合约》、《温州银行“金鹿理财-普惠季享”4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x4NzzCOhjeGujYAbpMypSA12+uk=" w:salt="eTvfWeXqGPXcox3d/5hKq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00414D"/>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0</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2025-09-05T07:03:42Z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eyJoZGlkIjoiZWNlNjU5NjliMTgyYzBmZjRiNGFhMjFmOTUwYjlmZDgiLCJ1c2VySWQiOiIzOTQzMjAxMTgifQ==</vt:lpwstr>
  </property>
</Properties>
</file>