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hint="eastAsia" w:ascii="黑体" w:eastAsia="黑体"/>
          <w:sz w:val="30"/>
          <w:szCs w:val="30"/>
        </w:rPr>
      </w:pPr>
      <w:r>
        <w:rPr>
          <w:rFonts w:hint="eastAsia" w:ascii="黑体" w:eastAsia="黑体"/>
          <w:sz w:val="30"/>
          <w:szCs w:val="30"/>
        </w:rPr>
        <w:t xml:space="preserve"> 温州银行“金鹿理财-小Hi钱包”</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22" w:lineRule="auto"/>
        <w:rPr>
          <w:rFonts w:ascii="宋体" w:hAnsi="宋体"/>
          <w:b/>
          <w:szCs w:val="21"/>
        </w:rPr>
      </w:pPr>
      <w:r>
        <w:rPr>
          <w:rFonts w:hint="eastAsia" w:ascii="宋体" w:hAnsi="宋体"/>
          <w:b/>
          <w:szCs w:val="21"/>
        </w:rPr>
        <w:t>尊敬的客户：</w:t>
      </w:r>
    </w:p>
    <w:p>
      <w:pPr>
        <w:adjustRightInd w:val="0"/>
        <w:snapToGrid w:val="0"/>
        <w:spacing w:line="319"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，请在购买该理财产品前特别注意以下事项：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您将购买的温州银行“金鹿理财</w:t>
      </w:r>
      <w:r>
        <w:rPr>
          <w:rFonts w:hint="eastAsia" w:ascii="宋体" w:hAnsi="宋体"/>
          <w:szCs w:val="21"/>
        </w:rPr>
        <w:t>-</w:t>
      </w:r>
      <w:r>
        <w:rPr>
          <w:rFonts w:hint="eastAsia"/>
          <w:szCs w:val="21"/>
        </w:rPr>
        <w:t>小Hi钱包”开放式净值型银行理财计划，投资类型属于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，在产品存续期内不定期（产品工作日）开放资金认购、申购及赎回。</w:t>
      </w:r>
      <w:r>
        <w:rPr>
          <w:rFonts w:hint="eastAsia"/>
          <w:b/>
          <w:bCs/>
          <w:szCs w:val="21"/>
        </w:rPr>
        <w:t>根据温</w:t>
      </w:r>
      <w:r>
        <w:rPr>
          <w:rFonts w:hint="eastAsia" w:ascii="宋体" w:hAnsi="宋体"/>
          <w:b/>
          <w:bCs/>
          <w:szCs w:val="21"/>
        </w:rPr>
        <w:t>州银行内部风险评级标准，该产品的风险等级为</w:t>
      </w:r>
      <w:r>
        <w:rPr>
          <w:rFonts w:hint="eastAsia" w:ascii="宋体" w:hAnsi="宋体"/>
          <w:b/>
          <w:bCs/>
          <w:szCs w:val="21"/>
          <w:u w:val="single"/>
        </w:rPr>
        <w:t>PR2级</w:t>
      </w:r>
      <w:r>
        <w:rPr>
          <w:rFonts w:hint="eastAsia" w:ascii="宋体" w:hAnsi="宋体"/>
          <w:b/>
          <w:bCs/>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本理财产品适合客户：经温州银行评估为稳健型、平衡型、进取型、激进型的个人投资者，以及机构投资者。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小Hi钱包”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小Hi钱包”开放式净值型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本人经温州银行评估的风险承受能力等级为（仅个人客户填写）：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w:t>
      </w:r>
      <w:r>
        <w:rPr>
          <w:rFonts w:hint="eastAsia"/>
          <w:b/>
          <w:szCs w:val="21"/>
        </w:rPr>
        <w:t>/本机构</w:t>
      </w:r>
      <w:r>
        <w:rPr>
          <w:rFonts w:hint="eastAsia" w:ascii="宋体" w:hAnsi="宋体"/>
          <w:b/>
          <w:szCs w:val="21"/>
        </w:rPr>
        <w:t>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本人/本机构已经阅读上述风险提示，愿意承担投资风险</w:t>
      </w:r>
      <w:r>
        <w:rPr>
          <w:rFonts w:hint="eastAsia"/>
          <w:szCs w:val="21"/>
        </w:rPr>
        <w:t>”。）</w:t>
      </w:r>
    </w:p>
    <w:p>
      <w:pPr>
        <w:adjustRightInd w:val="0"/>
        <w:snapToGrid w:val="0"/>
        <w:spacing w:line="312" w:lineRule="auto"/>
        <w:jc w:val="left"/>
        <w:rPr>
          <w:rFonts w:hint="eastAsia" w:ascii="宋体" w:hAnsi="宋体"/>
          <w:szCs w:val="21"/>
        </w:rPr>
      </w:pPr>
      <w:r>
        <w:rPr>
          <w:rFonts w:hint="eastAsia" w:ascii="宋体" w:hAnsi="宋体"/>
          <w:szCs w:val="21"/>
        </w:rPr>
        <w:t>个人投资者（签字）：</w:t>
      </w:r>
    </w:p>
    <w:p>
      <w:pPr>
        <w:adjustRightInd w:val="0"/>
        <w:snapToGrid w:val="0"/>
        <w:spacing w:line="312" w:lineRule="auto"/>
        <w:jc w:val="left"/>
        <w:rPr>
          <w:rFonts w:hint="eastAsia" w:ascii="宋体" w:hAnsi="宋体"/>
          <w:szCs w:val="21"/>
        </w:rPr>
      </w:pPr>
      <w:r>
        <w:rPr>
          <w:rFonts w:hint="eastAsia" w:ascii="宋体" w:hAnsi="宋体"/>
          <w:szCs w:val="21"/>
        </w:rPr>
        <w:t>机构投资者（盖章）：</w:t>
      </w:r>
    </w:p>
    <w:p>
      <w:pPr>
        <w:adjustRightInd w:val="0"/>
        <w:snapToGrid w:val="0"/>
        <w:spacing w:line="312" w:lineRule="auto"/>
        <w:jc w:val="left"/>
        <w:rPr>
          <w:rFonts w:hint="eastAsia" w:ascii="宋体" w:hAnsi="宋体"/>
          <w:szCs w:val="21"/>
        </w:rPr>
      </w:pPr>
      <w:r>
        <w:rPr>
          <w:rFonts w:hint="eastAsia" w:ascii="宋体" w:hAnsi="宋体"/>
          <w:szCs w:val="21"/>
        </w:rPr>
        <w:t xml:space="preserve">机构投资者法定代表人或授权代表（签名或盖章）：                            </w:t>
      </w:r>
    </w:p>
    <w:p>
      <w:pPr>
        <w:adjustRightInd w:val="0"/>
        <w:snapToGrid w:val="0"/>
        <w:spacing w:line="312" w:lineRule="auto"/>
        <w:jc w:val="right"/>
        <w:rPr>
          <w:rFonts w:hint="eastAsia"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hint="eastAsia" w:ascii="黑体" w:eastAsia="黑体"/>
          <w:sz w:val="30"/>
          <w:szCs w:val="30"/>
        </w:rPr>
      </w:pPr>
      <w:r>
        <w:rPr>
          <w:rFonts w:hint="eastAsia" w:ascii="黑体" w:eastAsia="黑体"/>
          <w:sz w:val="30"/>
          <w:szCs w:val="30"/>
        </w:rPr>
        <w:t>温州银行“金鹿理财-小Hi钱包”</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rFonts w:hint="eastAsia"/>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小Hi钱包”开放式净值型银行理财计划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7"/>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3810" b="10795"/>
                <wp:wrapNone/>
                <wp:docPr id="1" name="文本框 1"/>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pPr>
                              <w:jc w:val="center"/>
                            </w:pPr>
                            <w:r>
                              <w:rPr>
                                <w:rFonts w:hint="eastAsia"/>
                              </w:rPr>
                              <w:t>收益水平</w:t>
                            </w:r>
                          </w:p>
                          <w:p/>
                        </w:txbxContent>
                      </wps:txbx>
                      <wps:bodyPr vert="eaVert" wrap="square" upright="1"/>
                    </wps:wsp>
                  </a:graphicData>
                </a:graphic>
              </wp:anchor>
            </w:drawing>
          </mc:Choice>
          <mc:Fallback>
            <w:pict>
              <v:shape id="_x0000_s1026"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BJ6N7M2QAAAAgBAAAPAAAAAAAAAAEA&#10;IAAAACIAAABkcnMvZG93bnJldi54bWxQSwECFAAUAAAACACHTuJAkC1QttUBAACgAwAADgAAAAAA&#10;AAABACAAAAAoAQAAZHJzL2Uyb0RvYy54bWxQSwUGAAAAAAYABgBZAQAAbwUAAAAA&#10;">
                <v:fill on="t" focussize="0,0"/>
                <v:stroke on="f"/>
                <v:imagedata o:title=""/>
                <o:lock v:ext="edit" aspectratio="f"/>
                <v:textbox style="layout-flow:vertical-ideographic;">
                  <w:txbxContent>
                    <w:p>
                      <w:pPr>
                        <w:jc w:val="center"/>
                      </w:pPr>
                      <w:r>
                        <w:rPr>
                          <w:rFonts w:hint="eastAsia"/>
                        </w:rPr>
                        <w:t>收益水平</w:t>
                      </w:r>
                    </w:p>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1" name="组合 11"/>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a:effectLst/>
                      </wpg:grpSpPr>
                      <wps:wsp>
                        <wps:cNvPr id="2" name="矩形 2"/>
                        <wps:cNvSpPr>
                          <a:spLocks noChangeAspect="1" noTextEdit="1"/>
                        </wps:cNvSpPr>
                        <wps:spPr>
                          <a:xfrm>
                            <a:off x="0" y="0"/>
                            <a:ext cx="6188" cy="2986"/>
                          </a:xfrm>
                          <a:prstGeom prst="rect">
                            <a:avLst/>
                          </a:prstGeom>
                          <a:noFill/>
                          <a:ln>
                            <a:noFill/>
                          </a:ln>
                          <a:effectLst/>
                        </wps:spPr>
                        <wps:bodyPr wrap="square" upright="1"/>
                      </wps:wsp>
                      <wps:wsp>
                        <wps:cNvPr id="3" name="直接连接符 3"/>
                        <wps:cNvCnPr/>
                        <wps:spPr>
                          <a:xfrm>
                            <a:off x="254" y="2561"/>
                            <a:ext cx="5454" cy="1"/>
                          </a:xfrm>
                          <a:prstGeom prst="line">
                            <a:avLst/>
                          </a:prstGeom>
                          <a:ln w="9525" cap="flat" cmpd="sng">
                            <a:solidFill>
                              <a:srgbClr val="000000"/>
                            </a:solidFill>
                            <a:prstDash val="solid"/>
                            <a:headEnd type="none" w="med" len="med"/>
                            <a:tailEnd type="triangle" w="med" len="med"/>
                          </a:ln>
                          <a:effectLst/>
                        </wps:spPr>
                        <wps:bodyPr upright="1"/>
                      </wps:wsp>
                      <wps:wsp>
                        <wps:cNvPr id="4" name="直接连接符 4"/>
                        <wps:cNvCnPr/>
                        <wps:spPr>
                          <a:xfrm flipV="1">
                            <a:off x="614" y="0"/>
                            <a:ext cx="1" cy="2935"/>
                          </a:xfrm>
                          <a:prstGeom prst="line">
                            <a:avLst/>
                          </a:prstGeom>
                          <a:ln w="9525" cap="flat" cmpd="sng">
                            <a:solidFill>
                              <a:srgbClr val="000000"/>
                            </a:solidFill>
                            <a:prstDash val="solid"/>
                            <a:headEnd type="none" w="med" len="med"/>
                            <a:tailEnd type="triangle" w="med" len="med"/>
                          </a:ln>
                          <a:effectLst/>
                        </wps:spPr>
                        <wps:bodyPr upright="1"/>
                      </wps:wsp>
                      <wps:wsp>
                        <wps:cNvPr id="5" name="矩形 5"/>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6" name="矩形 6"/>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7" name="矩形 7"/>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8" name="矩形 8"/>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9" name="矩形 9"/>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10" name="矩形 10"/>
                        <wps:cNvSpPr/>
                        <wps:spPr>
                          <a:xfrm>
                            <a:off x="3630" y="2600"/>
                            <a:ext cx="2558" cy="386"/>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_x0000_s1026"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">
                <o:lock v:ext="edit" rotation="t" aspectratio="f"/>
                <v:rect id="_x0000_s1026"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_x0000_s1026"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_x0000_s1026"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_x0000_s102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_x0000_s1026"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_x0000_s1026"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_x0000_s1026"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_x0000_s1026"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_x0000_s1026"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7"/>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“金鹿理财-小Hi钱包”开放式净值型银行理财计划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H00001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hAnsi="Calibri"/>
                <w:sz w:val="18"/>
                <w:szCs w:val="18"/>
              </w:rPr>
            </w:pPr>
            <w:r>
              <w:rPr>
                <w:rFonts w:hAnsi="Calibri"/>
                <w:sz w:val="18"/>
                <w:szCs w:val="18"/>
              </w:rPr>
              <w:t>C1092221000157</w:t>
            </w:r>
          </w:p>
          <w:p>
            <w:pPr>
              <w:pStyle w:val="13"/>
              <w:adjustRightInd w:val="0"/>
              <w:snapToGrid w:val="0"/>
              <w:spacing w:before="0" w:beforeAutospacing="0" w:after="0" w:afterAutospacing="0" w:line="288" w:lineRule="auto"/>
              <w:jc w:val="center"/>
              <w:rPr>
                <w:rFonts w:hint="eastAsia" w:hAnsi="Calibri"/>
                <w:sz w:val="18"/>
                <w:szCs w:val="18"/>
              </w:rPr>
            </w:pPr>
            <w:r>
              <w:rPr>
                <w:rFonts w:hAnsi="Calibri"/>
                <w:sz w:val="18"/>
                <w:szCs w:val="18"/>
              </w:rPr>
              <w:t xml:space="preserve"> (投资者可登录中国理财网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经温州银行评估为稳健型、平衡型、进取型、激进型的个人投资者，以及机构投资者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100亿份，产品认购期发行规模不超过5亿份。若产品发行规模超出上限，银行有权暂停接受认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sz w:val="18"/>
                <w:szCs w:val="18"/>
                <w:u w:val="single"/>
              </w:rPr>
            </w:pPr>
            <w:r>
              <w:rPr>
                <w:rFonts w:hint="eastAsia"/>
                <w:sz w:val="18"/>
                <w:szCs w:val="18"/>
                <w:u w:val="single"/>
              </w:rPr>
              <w:t>2021年6月3日至2021年6月7日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hint="eastAsia" w:cs="Times New Roman"/>
                <w:sz w:val="18"/>
                <w:szCs w:val="18"/>
              </w:rPr>
            </w:pPr>
            <w:r>
              <w:rPr>
                <w:rFonts w:hint="eastAsia"/>
                <w:sz w:val="18"/>
                <w:szCs w:val="18"/>
              </w:rPr>
              <w:t>本理财计划成立日为2021年6月8日。温州银行有权根据实际募集情况选择产品提前成立，若温州银行采取以上措施，温州银行将就产品相应要素的调整事宜于提前成立日前的一个工作日在温州银行网站予以公告。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封闭期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sz w:val="18"/>
                <w:szCs w:val="18"/>
              </w:rPr>
            </w:pPr>
            <w:r>
              <w:rPr>
                <w:rFonts w:hint="eastAsia"/>
                <w:sz w:val="18"/>
                <w:szCs w:val="18"/>
              </w:rPr>
              <w:t>2021年6月8日至2021年7月4日，封闭期内不受理申购赎回申请。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开放期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jc w:val="left"/>
              <w:rPr>
                <w:rFonts w:ascii="宋体" w:hAnsi="宋体"/>
                <w:kern w:val="0"/>
                <w:sz w:val="18"/>
              </w:rPr>
            </w:pPr>
            <w:r>
              <w:rPr>
                <w:rFonts w:hint="eastAsia"/>
                <w:sz w:val="18"/>
                <w:szCs w:val="18"/>
              </w:rPr>
              <w:t>本理财产品自封闭期结束次日起每个产品工作日开放申购与赎回，直至提前终止日（如有）前两个工作日结束。投资者可在开放期的工作时间内提交申购和赎回申请，交易申请将在交易受理的下一产品工作日确认。温州银行有权根据理财产品申购和运作情况，调整开放期，暂停受理交易申请。温州银行如调整开放期，暂停受理交易申请，将至少提前1个工作日通过温州银行网站或营业网点进行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jc w:val="center"/>
              <w:rPr>
                <w:rFonts w:hint="eastAsia"/>
                <w:sz w:val="18"/>
                <w:szCs w:val="18"/>
              </w:rPr>
            </w:pPr>
            <w:r>
              <w:rPr>
                <w:rFonts w:ascii="宋体" w:hAnsi="宋体"/>
                <w:kern w:val="0"/>
                <w:sz w:val="18"/>
              </w:rPr>
              <w:t>本理财</w:t>
            </w:r>
            <w:r>
              <w:rPr>
                <w:rFonts w:hint="eastAsia" w:ascii="宋体" w:hAnsi="宋体"/>
                <w:kern w:val="0"/>
                <w:sz w:val="18"/>
              </w:rPr>
              <w:t>计划无固定到期日</w:t>
            </w:r>
            <w:r>
              <w:rPr>
                <w:rFonts w:ascii="宋体" w:hAnsi="宋体"/>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jc w:val="left"/>
              <w:rPr>
                <w:rFonts w:ascii="宋体" w:hAnsi="宋体"/>
                <w:sz w:val="18"/>
              </w:rPr>
            </w:pPr>
            <w:r>
              <w:rPr>
                <w:rFonts w:hint="eastAsia" w:ascii="宋体" w:hAnsi="宋体"/>
                <w:sz w:val="18"/>
              </w:rPr>
              <w:t>首次投资最低金额为</w:t>
            </w:r>
            <w:r>
              <w:rPr>
                <w:rFonts w:ascii="宋体" w:hAnsi="宋体"/>
                <w:sz w:val="18"/>
              </w:rPr>
              <w:t>1</w:t>
            </w:r>
            <w:r>
              <w:rPr>
                <w:rFonts w:hint="eastAsia" w:ascii="宋体" w:hAnsi="宋体"/>
                <w:sz w:val="18"/>
              </w:rPr>
              <w:t>万元；超出首次投资最低金额部分，须为</w:t>
            </w:r>
            <w:r>
              <w:rPr>
                <w:rFonts w:ascii="宋体" w:hAnsi="宋体"/>
                <w:sz w:val="18"/>
              </w:rPr>
              <w:t>1</w:t>
            </w:r>
            <w:r>
              <w:rPr>
                <w:rFonts w:hint="eastAsia" w:ascii="宋体" w:hAnsi="宋体"/>
                <w:sz w:val="18"/>
              </w:rPr>
              <w:t>千元或</w:t>
            </w:r>
            <w:r>
              <w:rPr>
                <w:rFonts w:ascii="宋体" w:hAnsi="宋体"/>
                <w:sz w:val="18"/>
              </w:rPr>
              <w:t>1</w:t>
            </w:r>
            <w:r>
              <w:rPr>
                <w:rFonts w:hint="eastAsia" w:ascii="宋体" w:hAnsi="宋体"/>
                <w:sz w:val="18"/>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autoSpaceDN w:val="0"/>
              <w:jc w:val="center"/>
              <w:rPr>
                <w:rFonts w:hint="eastAsia"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jc w:val="left"/>
              <w:rPr>
                <w:rFonts w:ascii="宋体" w:hAnsi="宋体"/>
                <w:sz w:val="18"/>
              </w:rPr>
            </w:pPr>
            <w:r>
              <w:rPr>
                <w:rFonts w:hint="eastAsia" w:ascii="宋体" w:hAnsi="宋体"/>
                <w:sz w:val="18"/>
              </w:rPr>
              <w:t>单一投资者累计最大购买金额</w:t>
            </w:r>
            <w:r>
              <w:rPr>
                <w:rFonts w:hint="eastAsia" w:ascii="宋体" w:hAnsi="宋体"/>
                <w:sz w:val="18"/>
                <w:lang w:val="en-US" w:eastAsia="zh-CN"/>
              </w:rPr>
              <w:t>100</w:t>
            </w:r>
            <w:r>
              <w:rPr>
                <w:rFonts w:hint="eastAsia" w:ascii="宋体" w:hAnsi="宋体"/>
                <w:sz w:val="18"/>
              </w:rPr>
              <w:t>万元。</w:t>
            </w:r>
          </w:p>
          <w:p>
            <w:pPr>
              <w:autoSpaceDN w:val="0"/>
              <w:jc w:val="left"/>
              <w:rPr>
                <w:rFonts w:hint="eastAsia"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认购份额</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认购份额=认购金额÷1元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申购份额</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6" w:lineRule="auto"/>
              <w:jc w:val="center"/>
              <w:rPr>
                <w:rFonts w:hint="eastAsia"/>
                <w:sz w:val="18"/>
                <w:szCs w:val="18"/>
              </w:rPr>
            </w:pPr>
            <w:r>
              <w:rPr>
                <w:rFonts w:hint="eastAsia"/>
                <w:sz w:val="18"/>
                <w:szCs w:val="18"/>
              </w:rPr>
              <w:t>申购份额＝申购金额÷申购确认日前一自然日理财计划单位净值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赎回金额的计算</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6" w:lineRule="auto"/>
              <w:jc w:val="center"/>
              <w:rPr>
                <w:rFonts w:hint="eastAsia"/>
                <w:sz w:val="18"/>
                <w:szCs w:val="18"/>
              </w:rPr>
            </w:pPr>
            <w:r>
              <w:rPr>
                <w:rFonts w:hint="eastAsia"/>
                <w:sz w:val="18"/>
                <w:szCs w:val="18"/>
              </w:rPr>
              <w:t>赎回金额＝总赎回份额×赎回清算日前一自然日理财计划单位净值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业绩比较基准</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1.</w:t>
            </w:r>
            <w:r>
              <w:rPr>
                <w:rFonts w:hint="eastAsia" w:cs="Times New Roman"/>
                <w:sz w:val="18"/>
                <w:szCs w:val="18"/>
                <w:lang w:val="en-US" w:eastAsia="zh-CN"/>
              </w:rPr>
              <w:t>5</w:t>
            </w:r>
            <w:r>
              <w:rPr>
                <w:rFonts w:hint="eastAsia" w:cs="Times New Roman"/>
                <w:sz w:val="18"/>
                <w:szCs w:val="18"/>
              </w:rPr>
              <w:t>%-2.</w:t>
            </w:r>
            <w:r>
              <w:rPr>
                <w:rFonts w:hint="eastAsia" w:cs="Times New Roman"/>
                <w:sz w:val="18"/>
                <w:szCs w:val="18"/>
                <w:lang w:val="en-US" w:eastAsia="zh-CN"/>
              </w:rPr>
              <w:t>1</w:t>
            </w:r>
            <w:r>
              <w:rPr>
                <w:rFonts w:hint="eastAsia" w:cs="Times New Roman"/>
                <w:sz w:val="18"/>
                <w:szCs w:val="18"/>
              </w:rPr>
              <w:t>%</w:t>
            </w:r>
            <w:bookmarkStart w:id="0" w:name="_GoBack"/>
            <w:bookmarkEnd w:id="0"/>
            <w:r>
              <w:rPr>
                <w:rFonts w:hint="eastAsia" w:cs="Times New Roman"/>
                <w:sz w:val="18"/>
                <w:szCs w:val="18"/>
              </w:rPr>
              <w:t>（年化）</w:t>
            </w:r>
          </w:p>
          <w:p>
            <w:pPr>
              <w:pStyle w:val="13"/>
              <w:adjustRightInd w:val="0"/>
              <w:snapToGrid w:val="0"/>
              <w:spacing w:before="0" w:beforeAutospacing="0" w:after="0" w:afterAutospacing="0" w:line="288" w:lineRule="auto"/>
              <w:rPr>
                <w:rFonts w:hint="eastAsia"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1.0%（年化）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hint="eastAsia" w:cs="Times New Roman"/>
                <w:sz w:val="18"/>
                <w:szCs w:val="18"/>
              </w:rPr>
            </w:pPr>
            <w:r>
              <w:rPr>
                <w:rFonts w:hint="eastAsia" w:cs="Times New Roman"/>
                <w:sz w:val="18"/>
                <w:szCs w:val="18"/>
              </w:rPr>
              <w:t>若本理财产品扣除产品固定管理费及托管费等各项费用后,日累计单位净值年化增长率超过业绩比较基准，投资管理人收取固定比例的浮动管理费。浮动管理费的具体计提及提取方式参照下文计算公式执行。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hint="eastAsia" w:cs="Times New Roman"/>
                <w:sz w:val="18"/>
                <w:szCs w:val="18"/>
              </w:rPr>
            </w:pPr>
            <w:r>
              <w:rPr>
                <w:rFonts w:hint="eastAsia" w:cs="Times New Roman"/>
                <w:sz w:val="18"/>
                <w:szCs w:val="18"/>
              </w:rPr>
              <w:t>交易费用（包括但不限于交易佣金、撮合费用等）、理财计划估值服务费、理财计划验资费、审计费、律师费、信息披露费、清算费、执行费用等相关费用，具体以实际发生为准。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6"/>
              <w:widowControl/>
              <w:spacing w:before="100" w:beforeAutospacing="1" w:after="100" w:afterAutospacing="1"/>
              <w:rPr>
                <w:rFonts w:hint="eastAsia"/>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购买总额-理财产品赎回总额+理财产品所获总收益-理财产品总费用（包括但不限于固定管理费、浮动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left"/>
              <w:rPr>
                <w:rFonts w:hint="eastAsia"/>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left"/>
              <w:rPr>
                <w:rFonts w:hint="eastAsia"/>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hint="eastAsia"/>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jc w:val="left"/>
              <w:rPr>
                <w:rFonts w:hint="eastAsia"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产品工作日</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sz w:val="18"/>
                <w:szCs w:val="18"/>
              </w:rPr>
            </w:pPr>
            <w:r>
              <w:rPr>
                <w:rFonts w:hint="eastAsia"/>
                <w:sz w:val="18"/>
                <w:szCs w:val="18"/>
              </w:rPr>
              <w:t>指上海证券交易所的正常交易日（不包含周六、周日和法定节假日），本理财产品说明书所述之日期如遇中国法定节假日自动顺延至下一个工作日。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在本产品存续期内，温州银行有权根据市场情况调整本产品前述产品要素，调整前将在</w:t>
            </w:r>
            <w:r>
              <w:rPr>
                <w:rFonts w:hint="eastAsia"/>
                <w:sz w:val="18"/>
                <w:szCs w:val="18"/>
              </w:rPr>
              <w:t>温州银行官方网站</w:t>
            </w:r>
            <w:r>
              <w:rPr>
                <w:rFonts w:hint="eastAsia" w:cs="Times New Roman"/>
                <w:sz w:val="18"/>
                <w:szCs w:val="18"/>
              </w:rPr>
              <w:t>进行相关信息披露。理财本金在理财</w:t>
            </w:r>
            <w:r>
              <w:rPr>
                <w:rFonts w:hint="eastAsia"/>
                <w:sz w:val="18"/>
                <w:szCs w:val="18"/>
              </w:rPr>
              <w:t>产品认购（申购）确认日</w:t>
            </w:r>
            <w:r>
              <w:rPr>
                <w:rFonts w:hint="eastAsia" w:cs="Times New Roman"/>
                <w:sz w:val="18"/>
                <w:szCs w:val="18"/>
              </w:rPr>
              <w:t>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rFonts w:hint="eastAsia"/>
          <w:sz w:val="18"/>
          <w:szCs w:val="18"/>
        </w:rPr>
      </w:pPr>
      <w:r>
        <w:rPr>
          <w:rFonts w:hint="eastAsia"/>
          <w:sz w:val="18"/>
          <w:szCs w:val="18"/>
        </w:rPr>
        <w:t>1、投资范围</w:t>
      </w:r>
    </w:p>
    <w:p>
      <w:pPr>
        <w:rPr>
          <w:rFonts w:hint="eastAsia"/>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w:t>
      </w:r>
      <w:r>
        <w:rPr>
          <w:rFonts w:hint="eastAsia" w:ascii="宋体" w:hAnsi="宋体"/>
          <w:sz w:val="18"/>
          <w:szCs w:val="18"/>
        </w:rPr>
        <w:t>与交易对手开展买入返售交易的，可接受押品的资质要求应该符合本产品说明书关于投资范围的约定。</w:t>
      </w:r>
      <w:r>
        <w:rPr>
          <w:rFonts w:hint="eastAsia"/>
          <w:sz w:val="18"/>
          <w:szCs w:val="18"/>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7"/>
        <w:tblW w:w="0" w:type="auto"/>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noWrap w:val="0"/>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noWrap w:val="0"/>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rFonts w:hint="eastAsia"/>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rFonts w:hint="eastAsia"/>
          <w:bCs/>
          <w:sz w:val="18"/>
          <w:szCs w:val="18"/>
        </w:rPr>
      </w:pPr>
      <w:r>
        <w:rPr>
          <w:rFonts w:hint="eastAsia"/>
          <w:bCs/>
          <w:sz w:val="18"/>
          <w:szCs w:val="18"/>
        </w:rPr>
        <w:t>主要拟投资市场、资产的流动性风险评估</w:t>
      </w:r>
    </w:p>
    <w:p>
      <w:pPr>
        <w:adjustRightInd w:val="0"/>
        <w:snapToGrid w:val="0"/>
        <w:spacing w:line="281" w:lineRule="auto"/>
        <w:rPr>
          <w:rFonts w:hint="eastAsia"/>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rFonts w:hint="eastAsia"/>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rFonts w:hint="eastAsia"/>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rFonts w:hint="eastAsia"/>
          <w:b/>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rFonts w:hint="eastAsia"/>
          <w:b/>
          <w:bCs/>
          <w:sz w:val="18"/>
          <w:szCs w:val="18"/>
        </w:rPr>
      </w:pPr>
      <w:r>
        <w:rPr>
          <w:rFonts w:hint="eastAsia"/>
          <w:b/>
          <w:bCs/>
          <w:sz w:val="18"/>
          <w:szCs w:val="18"/>
        </w:rPr>
        <w:t>投资管理人</w:t>
      </w:r>
    </w:p>
    <w:p>
      <w:pPr>
        <w:adjustRightInd w:val="0"/>
        <w:snapToGrid w:val="0"/>
        <w:spacing w:line="286" w:lineRule="auto"/>
        <w:rPr>
          <w:rFonts w:hint="eastAsia"/>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rFonts w:hint="eastAsia"/>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w:t>
      </w:r>
      <w:r>
        <w:rPr>
          <w:sz w:val="18"/>
          <w:szCs w:val="18"/>
        </w:rPr>
        <w:t>中国邮政储蓄银行股份有限公司</w:t>
      </w:r>
      <w:r>
        <w:rPr>
          <w:rFonts w:hint="eastAsia"/>
          <w:sz w:val="18"/>
          <w:szCs w:val="18"/>
        </w:rPr>
        <w:t>上海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5" w:lineRule="auto"/>
        <w:rPr>
          <w:rFonts w:hint="eastAsia"/>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rPr>
          <w:rFonts w:ascii="宋体" w:hAnsi="宋体"/>
          <w:color w:val="auto"/>
          <w:sz w:val="18"/>
          <w:szCs w:val="18"/>
          <w:u w:val="none"/>
        </w:rPr>
        <w:t>www.wzbank.cn</w:t>
      </w:r>
      <w:r>
        <w:rPr>
          <w:rFonts w:hint="eastAsia" w:ascii="宋体" w:hAnsi="宋体"/>
          <w:sz w:val="18"/>
          <w:szCs w:val="18"/>
        </w:rPr>
        <w:t>）查询温州银行理财产品的投资合作机构名单。</w:t>
      </w:r>
    </w:p>
    <w:p>
      <w:pPr>
        <w:adjustRightInd w:val="0"/>
        <w:snapToGrid w:val="0"/>
        <w:spacing w:line="286" w:lineRule="auto"/>
        <w:rPr>
          <w:rFonts w:hint="eastAsia"/>
          <w:b/>
          <w:bCs/>
          <w:sz w:val="18"/>
          <w:szCs w:val="18"/>
        </w:rPr>
      </w:pPr>
      <w:r>
        <w:rPr>
          <w:rFonts w:hint="eastAsia"/>
          <w:b/>
          <w:bCs/>
          <w:sz w:val="18"/>
          <w:szCs w:val="18"/>
        </w:rPr>
        <w:t>理财产品估值</w:t>
      </w:r>
    </w:p>
    <w:p>
      <w:pPr>
        <w:adjustRightInd w:val="0"/>
        <w:snapToGrid w:val="0"/>
        <w:spacing w:line="286" w:lineRule="auto"/>
        <w:rPr>
          <w:rFonts w:hint="eastAsia"/>
          <w:sz w:val="18"/>
          <w:szCs w:val="18"/>
        </w:rPr>
      </w:pPr>
      <w:r>
        <w:rPr>
          <w:rFonts w:hint="eastAsia"/>
          <w:sz w:val="18"/>
          <w:szCs w:val="18"/>
        </w:rPr>
        <w:t xml:space="preserve">【估值日】 </w:t>
      </w:r>
    </w:p>
    <w:p>
      <w:pPr>
        <w:adjustRightInd w:val="0"/>
        <w:snapToGrid w:val="0"/>
        <w:spacing w:line="286" w:lineRule="auto"/>
        <w:rPr>
          <w:rFonts w:hint="eastAsia"/>
          <w:sz w:val="18"/>
          <w:szCs w:val="18"/>
        </w:rPr>
      </w:pPr>
      <w:r>
        <w:rPr>
          <w:rFonts w:hint="eastAsia"/>
          <w:sz w:val="18"/>
          <w:szCs w:val="18"/>
        </w:rPr>
        <w:t xml:space="preserve">本理财产品估值日为每个证券交易所的交易日（如遇非工作日顺延至下一工作日，具体日期以温州银行公告为准）。 </w:t>
      </w:r>
    </w:p>
    <w:p>
      <w:pPr>
        <w:adjustRightInd w:val="0"/>
        <w:snapToGrid w:val="0"/>
        <w:spacing w:line="286" w:lineRule="auto"/>
        <w:rPr>
          <w:rFonts w:hint="eastAsia"/>
          <w:sz w:val="18"/>
          <w:szCs w:val="18"/>
        </w:rPr>
      </w:pPr>
      <w:r>
        <w:rPr>
          <w:rFonts w:hint="eastAsia"/>
          <w:sz w:val="18"/>
          <w:szCs w:val="18"/>
        </w:rPr>
        <w:t>【估值对象】</w:t>
      </w:r>
    </w:p>
    <w:p>
      <w:pPr>
        <w:adjustRightInd w:val="0"/>
        <w:snapToGrid w:val="0"/>
        <w:spacing w:line="286" w:lineRule="auto"/>
        <w:rPr>
          <w:rFonts w:hint="eastAsia"/>
          <w:sz w:val="18"/>
          <w:szCs w:val="18"/>
        </w:rPr>
      </w:pPr>
      <w:r>
        <w:rPr>
          <w:rFonts w:hint="eastAsia"/>
          <w:sz w:val="18"/>
          <w:szCs w:val="18"/>
        </w:rPr>
        <w:t xml:space="preserve"> 本理财产品所拥有的投资资产。</w:t>
      </w:r>
    </w:p>
    <w:p>
      <w:pPr>
        <w:adjustRightInd w:val="0"/>
        <w:snapToGrid w:val="0"/>
        <w:spacing w:line="286" w:lineRule="auto"/>
        <w:rPr>
          <w:rFonts w:hint="eastAsia"/>
          <w:sz w:val="18"/>
          <w:szCs w:val="18"/>
        </w:rPr>
      </w:pPr>
      <w:r>
        <w:rPr>
          <w:rFonts w:hint="eastAsia"/>
          <w:sz w:val="18"/>
          <w:szCs w:val="18"/>
        </w:rPr>
        <w:t xml:space="preserve">【估值目的】 </w:t>
      </w:r>
    </w:p>
    <w:p>
      <w:pPr>
        <w:adjustRightInd w:val="0"/>
        <w:snapToGrid w:val="0"/>
        <w:spacing w:line="286" w:lineRule="auto"/>
        <w:rPr>
          <w:rFonts w:hint="eastAsia"/>
          <w:sz w:val="18"/>
          <w:szCs w:val="18"/>
        </w:rPr>
      </w:pPr>
      <w:r>
        <w:rPr>
          <w:rFonts w:hint="eastAsia"/>
          <w:sz w:val="18"/>
          <w:szCs w:val="18"/>
        </w:rPr>
        <w:t xml:space="preserve">客观、准确反映理财产品的价值。 </w:t>
      </w:r>
    </w:p>
    <w:p>
      <w:pPr>
        <w:adjustRightInd w:val="0"/>
        <w:snapToGrid w:val="0"/>
        <w:spacing w:line="286" w:lineRule="auto"/>
        <w:rPr>
          <w:rFonts w:hint="eastAsia"/>
          <w:sz w:val="18"/>
          <w:szCs w:val="18"/>
        </w:rPr>
      </w:pPr>
      <w:r>
        <w:rPr>
          <w:rFonts w:hint="eastAsia"/>
          <w:sz w:val="18"/>
          <w:szCs w:val="18"/>
        </w:rPr>
        <w:t xml:space="preserve">【估值方法】 </w:t>
      </w:r>
    </w:p>
    <w:p>
      <w:pPr>
        <w:adjustRightInd w:val="0"/>
        <w:snapToGrid w:val="0"/>
        <w:spacing w:line="286" w:lineRule="auto"/>
        <w:rPr>
          <w:rFonts w:hint="eastAsia"/>
          <w:sz w:val="18"/>
          <w:szCs w:val="18"/>
        </w:rPr>
      </w:pPr>
      <w:r>
        <w:rPr>
          <w:rFonts w:hint="eastAsia"/>
          <w:sz w:val="18"/>
          <w:szCs w:val="18"/>
        </w:rPr>
        <w:t>1、货币市场工具：</w:t>
      </w:r>
    </w:p>
    <w:p>
      <w:pPr>
        <w:adjustRightInd w:val="0"/>
        <w:snapToGrid w:val="0"/>
        <w:spacing w:line="286" w:lineRule="auto"/>
        <w:rPr>
          <w:rFonts w:hint="eastAsia"/>
          <w:sz w:val="18"/>
          <w:szCs w:val="18"/>
        </w:rPr>
      </w:pPr>
      <w:r>
        <w:rPr>
          <w:rFonts w:hint="eastAsia"/>
          <w:sz w:val="18"/>
          <w:szCs w:val="18"/>
        </w:rPr>
        <w:t>（1）银行存款类资产及债券回购以本金列示、逐日计提利息。</w:t>
      </w:r>
    </w:p>
    <w:p>
      <w:pPr>
        <w:adjustRightInd w:val="0"/>
        <w:snapToGrid w:val="0"/>
        <w:spacing w:line="286" w:lineRule="auto"/>
        <w:rPr>
          <w:rFonts w:hint="eastAsia"/>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rFonts w:hint="eastAsia"/>
          <w:sz w:val="18"/>
          <w:szCs w:val="18"/>
        </w:rPr>
      </w:pPr>
      <w:r>
        <w:rPr>
          <w:rFonts w:hint="eastAsia"/>
          <w:sz w:val="18"/>
          <w:szCs w:val="18"/>
        </w:rPr>
        <w:t>2、债券类资产：</w:t>
      </w:r>
    </w:p>
    <w:p>
      <w:pPr>
        <w:adjustRightInd w:val="0"/>
        <w:snapToGrid w:val="0"/>
        <w:spacing w:line="286" w:lineRule="auto"/>
        <w:rPr>
          <w:rFonts w:hint="eastAsia"/>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rFonts w:hint="eastAsia"/>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rFonts w:hint="eastAsia"/>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rFonts w:hint="eastAsia"/>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rFonts w:hint="eastAsia"/>
          <w:sz w:val="18"/>
          <w:szCs w:val="18"/>
        </w:rPr>
      </w:pPr>
      <w:r>
        <w:rPr>
          <w:rFonts w:hint="eastAsia"/>
          <w:sz w:val="18"/>
          <w:szCs w:val="18"/>
        </w:rPr>
        <w:t>4、基金、证券、保险等资产管理计划和信托计划等资产（不含货币市场基金）：</w:t>
      </w:r>
    </w:p>
    <w:p>
      <w:pPr>
        <w:adjustRightInd w:val="0"/>
        <w:snapToGrid w:val="0"/>
        <w:spacing w:line="286" w:lineRule="auto"/>
        <w:rPr>
          <w:rFonts w:hint="eastAsia"/>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rFonts w:hint="eastAsia"/>
          <w:sz w:val="18"/>
          <w:szCs w:val="18"/>
        </w:rPr>
      </w:pPr>
      <w:r>
        <w:rPr>
          <w:rFonts w:hint="eastAsia"/>
          <w:sz w:val="18"/>
          <w:szCs w:val="18"/>
        </w:rPr>
        <w:t>5、其他资产：</w:t>
      </w:r>
    </w:p>
    <w:p>
      <w:pPr>
        <w:adjustRightInd w:val="0"/>
        <w:snapToGrid w:val="0"/>
        <w:spacing w:line="286" w:lineRule="auto"/>
        <w:rPr>
          <w:rFonts w:hint="eastAsia"/>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rPr>
      </w:pPr>
      <w:r>
        <w:rPr>
          <w:rFonts w:hint="eastAsia"/>
          <w:sz w:val="18"/>
          <w:szCs w:val="18"/>
        </w:rPr>
        <w:t>6、其他事项</w:t>
      </w:r>
    </w:p>
    <w:p>
      <w:pPr>
        <w:adjustRightInd w:val="0"/>
        <w:snapToGrid w:val="0"/>
        <w:spacing w:line="286" w:lineRule="auto"/>
        <w:rPr>
          <w:rFonts w:hint="eastAsia"/>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rFonts w:hint="eastAsia"/>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rFonts w:hint="eastAsia"/>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rFonts w:hint="eastAsia"/>
          <w:sz w:val="18"/>
          <w:szCs w:val="18"/>
        </w:rPr>
      </w:pPr>
      <w:r>
        <w:rPr>
          <w:rFonts w:hint="eastAsia"/>
          <w:sz w:val="18"/>
          <w:szCs w:val="18"/>
        </w:rPr>
        <w:t>【暂停估值】</w:t>
      </w:r>
    </w:p>
    <w:p>
      <w:pPr>
        <w:adjustRightInd w:val="0"/>
        <w:snapToGrid w:val="0"/>
        <w:spacing w:line="286" w:lineRule="auto"/>
        <w:rPr>
          <w:rFonts w:hint="eastAsia"/>
          <w:sz w:val="18"/>
          <w:szCs w:val="18"/>
        </w:rPr>
      </w:pPr>
      <w:r>
        <w:rPr>
          <w:rFonts w:hint="eastAsia"/>
          <w:sz w:val="18"/>
          <w:szCs w:val="18"/>
        </w:rPr>
        <w:t>本理财计划可暂停估值的情形如下：</w:t>
      </w:r>
    </w:p>
    <w:p>
      <w:pPr>
        <w:adjustRightInd w:val="0"/>
        <w:snapToGrid w:val="0"/>
        <w:spacing w:line="286" w:lineRule="auto"/>
        <w:rPr>
          <w:rFonts w:hint="eastAsia"/>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rFonts w:hint="eastAsia"/>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rFonts w:hint="eastAsia"/>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rFonts w:hint="eastAsia"/>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rFonts w:hint="eastAsia"/>
          <w:b/>
          <w:sz w:val="18"/>
          <w:szCs w:val="18"/>
        </w:rPr>
      </w:pPr>
      <w:r>
        <w:rPr>
          <w:rFonts w:hint="eastAsia"/>
          <w:sz w:val="18"/>
          <w:szCs w:val="18"/>
        </w:rPr>
        <w:t>因上述情形暂停估值造成的损失，产品管理人和托管人不承担责任。</w:t>
      </w:r>
    </w:p>
    <w:p>
      <w:pPr>
        <w:adjustRightInd w:val="0"/>
        <w:snapToGrid w:val="0"/>
        <w:spacing w:line="286" w:lineRule="auto"/>
        <w:rPr>
          <w:rFonts w:hint="eastAsia"/>
          <w:b/>
          <w:sz w:val="18"/>
          <w:szCs w:val="18"/>
        </w:rPr>
      </w:pPr>
      <w:r>
        <w:rPr>
          <w:rFonts w:hint="eastAsia"/>
          <w:b/>
          <w:sz w:val="18"/>
          <w:szCs w:val="18"/>
        </w:rPr>
        <w:t>理财收益测算及相关费用</w:t>
      </w:r>
    </w:p>
    <w:p>
      <w:pPr>
        <w:adjustRightInd w:val="0"/>
        <w:snapToGrid w:val="0"/>
        <w:spacing w:line="286" w:lineRule="auto"/>
        <w:rPr>
          <w:rFonts w:hint="eastAsia"/>
          <w:sz w:val="18"/>
          <w:szCs w:val="18"/>
        </w:rPr>
      </w:pPr>
      <w:r>
        <w:rPr>
          <w:rFonts w:hint="eastAsia"/>
          <w:sz w:val="18"/>
          <w:szCs w:val="18"/>
        </w:rPr>
        <w:t>【理财产品单位净值】</w:t>
      </w:r>
    </w:p>
    <w:p>
      <w:pPr>
        <w:adjustRightInd w:val="0"/>
        <w:snapToGrid w:val="0"/>
        <w:spacing w:line="286" w:lineRule="auto"/>
        <w:rPr>
          <w:rFonts w:hint="eastAsia"/>
          <w:sz w:val="18"/>
          <w:szCs w:val="18"/>
        </w:rPr>
      </w:pPr>
      <w:r>
        <w:rPr>
          <w:rFonts w:hint="eastAsia"/>
          <w:sz w:val="18"/>
          <w:szCs w:val="18"/>
        </w:rPr>
        <w:t>理财产品单位净值=理财产品总净值÷理财产品总份额</w:t>
      </w:r>
    </w:p>
    <w:p>
      <w:pPr>
        <w:adjustRightInd w:val="0"/>
        <w:snapToGrid w:val="0"/>
        <w:spacing w:line="286" w:lineRule="auto"/>
        <w:rPr>
          <w:rFonts w:hint="eastAsia"/>
          <w:sz w:val="18"/>
          <w:szCs w:val="18"/>
        </w:rPr>
      </w:pPr>
      <w:r>
        <w:rPr>
          <w:rFonts w:hint="eastAsia"/>
          <w:sz w:val="18"/>
          <w:szCs w:val="18"/>
        </w:rPr>
        <w:t>理财产品单位净值为提取相关费用后的净值，客户按该单位净值进行赎回或产品到期终止清算时的分配。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rFonts w:hint="eastAsia"/>
          <w:sz w:val="18"/>
          <w:szCs w:val="18"/>
        </w:rPr>
      </w:pPr>
      <w:r>
        <w:rPr>
          <w:sz w:val="18"/>
          <w:szCs w:val="18"/>
        </w:rPr>
        <w:t>1.</w:t>
      </w:r>
      <w:r>
        <w:rPr>
          <w:rFonts w:hint="eastAsia"/>
          <w:sz w:val="18"/>
          <w:szCs w:val="18"/>
        </w:rPr>
        <w:t>本理财计划成立日为</w:t>
      </w:r>
      <w:r>
        <w:rPr>
          <w:sz w:val="18"/>
          <w:szCs w:val="18"/>
        </w:rPr>
        <w:t>20</w:t>
      </w:r>
      <w:r>
        <w:rPr>
          <w:rFonts w:hint="eastAsia"/>
          <w:sz w:val="18"/>
          <w:szCs w:val="18"/>
        </w:rPr>
        <w:t>21年6月8日。封闭期为2021年6月8日至2021年7月4日。</w:t>
      </w:r>
    </w:p>
    <w:p>
      <w:pPr>
        <w:adjustRightInd w:val="0"/>
        <w:snapToGrid w:val="0"/>
        <w:spacing w:line="286" w:lineRule="auto"/>
        <w:rPr>
          <w:rFonts w:hint="eastAsia"/>
          <w:sz w:val="18"/>
          <w:szCs w:val="18"/>
        </w:rPr>
      </w:pPr>
      <w:r>
        <w:rPr>
          <w:sz w:val="18"/>
          <w:szCs w:val="18"/>
        </w:rPr>
        <w:t>2.</w:t>
      </w:r>
      <w:r>
        <w:rPr>
          <w:rFonts w:hint="eastAsia"/>
          <w:sz w:val="18"/>
          <w:szCs w:val="18"/>
        </w:rPr>
        <w:t>申购、赎回期：本理财计划封闭期结束后，投资者可在本产品存续期内的产品工作日，向温州银行提交申购或赎回申请，申购确认日、赎回清算日为交易受理的下一产品工作日。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rFonts w:hint="eastAsia"/>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）本理财计划在开放期的工作时间可以提交申购和赎回申请，交易申请将在交易受理的下一产品工作日确认。</w:t>
      </w:r>
      <w:r>
        <w:rPr>
          <w:sz w:val="18"/>
          <w:szCs w:val="18"/>
        </w:rPr>
        <w:t xml:space="preserve"> </w:t>
      </w:r>
    </w:p>
    <w:p>
      <w:pPr>
        <w:adjustRightInd w:val="0"/>
        <w:snapToGrid w:val="0"/>
        <w:spacing w:line="286" w:lineRule="auto"/>
        <w:rPr>
          <w:rFonts w:hint="eastAsia"/>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rFonts w:hint="eastAsia"/>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）投资者可于产品开放期</w:t>
      </w:r>
      <w:r>
        <w:rPr>
          <w:sz w:val="18"/>
          <w:szCs w:val="18"/>
        </w:rPr>
        <w:t>日</w:t>
      </w:r>
      <w:r>
        <w:rPr>
          <w:rFonts w:hint="eastAsia"/>
          <w:sz w:val="18"/>
          <w:szCs w:val="18"/>
        </w:rPr>
        <w:t>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rFonts w:hint="eastAsia"/>
          <w:sz w:val="18"/>
          <w:szCs w:val="18"/>
        </w:rPr>
      </w:pPr>
      <w:r>
        <w:rPr>
          <w:rFonts w:hint="eastAsia"/>
          <w:sz w:val="18"/>
          <w:szCs w:val="18"/>
        </w:rPr>
        <w:t>（10）巨额赎回：</w:t>
      </w:r>
    </w:p>
    <w:p>
      <w:pPr>
        <w:adjustRightInd w:val="0"/>
        <w:snapToGrid w:val="0"/>
        <w:spacing w:line="286" w:lineRule="auto"/>
        <w:rPr>
          <w:rFonts w:hint="eastAsia"/>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rFonts w:hint="eastAsia"/>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rFonts w:hint="eastAsia"/>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rFonts w:hint="eastAsia"/>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rFonts w:hint="eastAsia"/>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rFonts w:hint="eastAsia"/>
          <w:sz w:val="18"/>
          <w:szCs w:val="18"/>
        </w:rPr>
      </w:pPr>
      <w:r>
        <w:rPr>
          <w:rFonts w:hint="eastAsia"/>
          <w:sz w:val="18"/>
          <w:szCs w:val="18"/>
        </w:rPr>
        <w:t>摆动定价机制</w:t>
      </w:r>
    </w:p>
    <w:p>
      <w:pPr>
        <w:adjustRightInd w:val="0"/>
        <w:snapToGrid w:val="0"/>
        <w:spacing w:line="286" w:lineRule="auto"/>
        <w:rPr>
          <w:rFonts w:hint="eastAsia"/>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赎回金额＝总赎回份额×赎回清算日前一自然日理财计划单位净值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rFonts w:hint="eastAsia"/>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rFonts w:hint="eastAsia"/>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rFonts w:hint="eastAsia"/>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rFonts w:hint="eastAsia"/>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rFonts w:hint="eastAsia"/>
          <w:sz w:val="18"/>
          <w:szCs w:val="18"/>
        </w:rPr>
      </w:pPr>
      <w:r>
        <w:rPr>
          <w:rFonts w:hint="eastAsia"/>
          <w:sz w:val="18"/>
          <w:szCs w:val="18"/>
        </w:rPr>
        <w:t>3）当接受认购申请可能会有损于理财产品存量投资者利益时。</w:t>
      </w:r>
    </w:p>
    <w:p>
      <w:pPr>
        <w:adjustRightInd w:val="0"/>
        <w:snapToGrid w:val="0"/>
        <w:spacing w:line="286" w:lineRule="auto"/>
        <w:rPr>
          <w:rFonts w:hint="eastAsia"/>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rFonts w:hint="eastAsia"/>
          <w:sz w:val="18"/>
          <w:szCs w:val="18"/>
        </w:rPr>
      </w:pPr>
      <w:r>
        <w:rPr>
          <w:rFonts w:hint="eastAsia"/>
          <w:sz w:val="18"/>
          <w:szCs w:val="18"/>
        </w:rPr>
        <w:t>5）发生产品说明书约定的暂停估值的情形时。</w:t>
      </w:r>
    </w:p>
    <w:p>
      <w:pPr>
        <w:adjustRightInd w:val="0"/>
        <w:snapToGrid w:val="0"/>
        <w:spacing w:line="286" w:lineRule="auto"/>
        <w:rPr>
          <w:rFonts w:hint="eastAsia"/>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rFonts w:hint="eastAsia"/>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rFonts w:hint="eastAsia"/>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rFonts w:hint="eastAsia"/>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rFonts w:hint="eastAsia"/>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rFonts w:hint="eastAsia"/>
          <w:sz w:val="18"/>
          <w:szCs w:val="18"/>
        </w:rPr>
      </w:pPr>
      <w:r>
        <w:rPr>
          <w:rFonts w:hint="eastAsia"/>
          <w:sz w:val="18"/>
          <w:szCs w:val="18"/>
        </w:rPr>
        <w:t>【终止（包括到期终止、提前终止、延期终止）】</w:t>
      </w:r>
    </w:p>
    <w:p>
      <w:pPr>
        <w:adjustRightInd w:val="0"/>
        <w:snapToGrid w:val="0"/>
        <w:spacing w:line="286" w:lineRule="auto"/>
        <w:rPr>
          <w:rFonts w:hint="eastAsia"/>
          <w:color w:val="000000"/>
          <w:sz w:val="18"/>
        </w:rPr>
      </w:pPr>
      <w:r>
        <w:rPr>
          <w:rFonts w:hint="eastAsia"/>
          <w:sz w:val="18"/>
          <w:szCs w:val="18"/>
        </w:rPr>
        <w:t>本产品无固定到期日</w:t>
      </w:r>
      <w:r>
        <w:rPr>
          <w:rFonts w:hint="eastAsia"/>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rFonts w:hint="eastAsia"/>
          <w:sz w:val="18"/>
          <w:szCs w:val="18"/>
        </w:rPr>
      </w:pPr>
      <w:r>
        <w:rPr>
          <w:rFonts w:hint="eastAsia"/>
          <w:sz w:val="18"/>
          <w:szCs w:val="18"/>
        </w:rPr>
        <w:t>【相关费用】</w:t>
      </w:r>
    </w:p>
    <w:p>
      <w:pPr>
        <w:adjustRightInd w:val="0"/>
        <w:snapToGrid w:val="0"/>
        <w:spacing w:line="286" w:lineRule="auto"/>
        <w:rPr>
          <w:rFonts w:hint="eastAsia"/>
          <w:sz w:val="18"/>
          <w:szCs w:val="18"/>
        </w:rPr>
      </w:pPr>
      <w:r>
        <w:rPr>
          <w:rFonts w:hint="eastAsia"/>
          <w:sz w:val="18"/>
          <w:szCs w:val="18"/>
        </w:rPr>
        <w:t>（1）理财管理人的固定管理费</w:t>
      </w:r>
    </w:p>
    <w:p>
      <w:pPr>
        <w:adjustRightInd w:val="0"/>
        <w:snapToGrid w:val="0"/>
        <w:spacing w:line="286" w:lineRule="auto"/>
        <w:rPr>
          <w:rFonts w:hint="eastAsia"/>
          <w:sz w:val="18"/>
          <w:szCs w:val="18"/>
        </w:rPr>
      </w:pPr>
      <w:r>
        <w:rPr>
          <w:rFonts w:hint="eastAsia"/>
          <w:sz w:val="18"/>
          <w:szCs w:val="18"/>
        </w:rPr>
        <w:t>理财管理人对委托资产收取的固定管理费，理财计划财产的年固定管理费率为1.0%，计算方法如下：</w:t>
      </w:r>
    </w:p>
    <w:p>
      <w:pPr>
        <w:adjustRightInd w:val="0"/>
        <w:snapToGrid w:val="0"/>
        <w:spacing w:line="286" w:lineRule="auto"/>
        <w:rPr>
          <w:rFonts w:hint="eastAsia"/>
          <w:sz w:val="18"/>
          <w:szCs w:val="18"/>
        </w:rPr>
      </w:pPr>
      <w:r>
        <w:rPr>
          <w:rFonts w:hint="eastAsia"/>
          <w:sz w:val="18"/>
          <w:szCs w:val="18"/>
        </w:rPr>
        <w:t>H＝E×1.0%÷365</w:t>
      </w:r>
    </w:p>
    <w:p>
      <w:pPr>
        <w:adjustRightInd w:val="0"/>
        <w:snapToGrid w:val="0"/>
        <w:spacing w:line="286" w:lineRule="auto"/>
        <w:rPr>
          <w:rFonts w:hint="eastAsia"/>
          <w:sz w:val="18"/>
          <w:szCs w:val="18"/>
        </w:rPr>
      </w:pPr>
      <w:r>
        <w:rPr>
          <w:rFonts w:hint="eastAsia"/>
          <w:sz w:val="18"/>
          <w:szCs w:val="18"/>
        </w:rPr>
        <w:t>H为每日应计提的固定管理费</w:t>
      </w:r>
    </w:p>
    <w:p>
      <w:pPr>
        <w:adjustRightInd w:val="0"/>
        <w:snapToGrid w:val="0"/>
        <w:spacing w:line="286" w:lineRule="auto"/>
        <w:rPr>
          <w:rFonts w:hint="eastAsia"/>
          <w:sz w:val="18"/>
          <w:szCs w:val="18"/>
        </w:rPr>
      </w:pPr>
      <w:r>
        <w:rPr>
          <w:rFonts w:hint="eastAsia"/>
          <w:sz w:val="18"/>
          <w:szCs w:val="18"/>
        </w:rPr>
        <w:t>E为本计划前一自然日资产净值，第一日固定管理费=第一日理财产品本金余额×固定管理费率÷365。</w:t>
      </w:r>
    </w:p>
    <w:p>
      <w:pPr>
        <w:adjustRightInd w:val="0"/>
        <w:snapToGrid w:val="0"/>
        <w:spacing w:line="286" w:lineRule="auto"/>
        <w:rPr>
          <w:rFonts w:hint="eastAsia"/>
          <w:sz w:val="18"/>
          <w:szCs w:val="18"/>
        </w:rPr>
      </w:pPr>
      <w:r>
        <w:rPr>
          <w:rFonts w:hint="eastAsia"/>
          <w:sz w:val="18"/>
          <w:szCs w:val="18"/>
        </w:rPr>
        <w:t>固定管理费原则上按日计提，管理人有权根据理财计划实际运作情况对已计提的固定管理费余额从理财计划财产中扣除，并有权根据理财计划实际运作情况减免部分或全部固定管理费。</w:t>
      </w:r>
    </w:p>
    <w:p>
      <w:pPr>
        <w:adjustRightInd w:val="0"/>
        <w:snapToGrid w:val="0"/>
        <w:spacing w:line="286" w:lineRule="auto"/>
        <w:rPr>
          <w:rFonts w:hint="eastAsia"/>
          <w:sz w:val="18"/>
          <w:szCs w:val="18"/>
        </w:rPr>
      </w:pPr>
      <w:r>
        <w:rPr>
          <w:rFonts w:hint="eastAsia"/>
          <w:sz w:val="18"/>
          <w:szCs w:val="18"/>
        </w:rPr>
        <w:t>（2）理财管理人的浮动管理费</w:t>
      </w:r>
    </w:p>
    <w:p>
      <w:pPr>
        <w:adjustRightInd w:val="0"/>
        <w:snapToGrid w:val="0"/>
        <w:spacing w:line="286" w:lineRule="auto"/>
        <w:rPr>
          <w:rFonts w:hint="eastAsia"/>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F=（Y-A×R÷365）×80%</w:t>
      </w:r>
    </w:p>
    <w:p>
      <w:pPr>
        <w:adjustRightInd w:val="0"/>
        <w:snapToGrid w:val="0"/>
        <w:spacing w:line="286" w:lineRule="auto"/>
        <w:rPr>
          <w:rFonts w:hint="eastAsia"/>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F为每日应计提的浮动管理费，当计提后的浮动管理费余额小于0时，则当日不再予以计提，即当日浮动管理费余额为0。</w:t>
      </w:r>
    </w:p>
    <w:p>
      <w:pPr>
        <w:adjustRightInd w:val="0"/>
        <w:snapToGrid w:val="0"/>
        <w:spacing w:line="286" w:lineRule="auto"/>
        <w:rPr>
          <w:sz w:val="18"/>
          <w:szCs w:val="18"/>
        </w:rPr>
      </w:pPr>
      <w:r>
        <w:rPr>
          <w:rFonts w:hint="eastAsia"/>
          <w:sz w:val="18"/>
          <w:szCs w:val="18"/>
        </w:rPr>
        <w:t>Y为当日扣除浮动管理费前的当日资产收益</w:t>
      </w:r>
    </w:p>
    <w:p>
      <w:pPr>
        <w:adjustRightInd w:val="0"/>
        <w:snapToGrid w:val="0"/>
        <w:spacing w:line="286" w:lineRule="auto"/>
        <w:rPr>
          <w:sz w:val="18"/>
          <w:szCs w:val="18"/>
        </w:rPr>
      </w:pPr>
      <w:r>
        <w:rPr>
          <w:rFonts w:hint="eastAsia"/>
          <w:sz w:val="18"/>
          <w:szCs w:val="18"/>
        </w:rPr>
        <w:t>A为上一日理财产品的单位净值×当日产品份额余额</w:t>
      </w:r>
    </w:p>
    <w:p>
      <w:pPr>
        <w:adjustRightInd w:val="0"/>
        <w:snapToGrid w:val="0"/>
        <w:spacing w:line="286" w:lineRule="auto"/>
        <w:rPr>
          <w:rFonts w:hint="eastAsia"/>
          <w:sz w:val="18"/>
          <w:szCs w:val="18"/>
        </w:rPr>
      </w:pPr>
      <w:r>
        <w:rPr>
          <w:rFonts w:hint="eastAsia"/>
          <w:sz w:val="18"/>
          <w:szCs w:val="18"/>
        </w:rPr>
        <w:t>R为当日的业绩比较基准，若业绩比较基准存在区间范围的，则为业绩比较基准区间均值</w:t>
      </w:r>
      <w:r>
        <w:rPr>
          <w:sz w:val="18"/>
          <w:szCs w:val="18"/>
        </w:rPr>
        <w:t>。</w:t>
      </w:r>
    </w:p>
    <w:p>
      <w:pPr>
        <w:adjustRightInd w:val="0"/>
        <w:snapToGrid w:val="0"/>
        <w:spacing w:line="286" w:lineRule="auto"/>
        <w:rPr>
          <w:rFonts w:hint="eastAsia"/>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rFonts w:hint="eastAsia"/>
          <w:sz w:val="18"/>
          <w:szCs w:val="18"/>
        </w:rPr>
      </w:pPr>
      <w:r>
        <w:rPr>
          <w:rFonts w:hint="eastAsia"/>
          <w:sz w:val="18"/>
          <w:szCs w:val="18"/>
        </w:rPr>
        <w:t>（3）理财托管人的托管费</w:t>
      </w:r>
    </w:p>
    <w:p>
      <w:pPr>
        <w:adjustRightInd w:val="0"/>
        <w:snapToGrid w:val="0"/>
        <w:spacing w:line="286" w:lineRule="auto"/>
        <w:rPr>
          <w:rFonts w:hint="eastAsia"/>
          <w:sz w:val="18"/>
          <w:szCs w:val="18"/>
        </w:rPr>
      </w:pPr>
      <w:r>
        <w:rPr>
          <w:rFonts w:hint="eastAsia"/>
          <w:sz w:val="18"/>
          <w:szCs w:val="18"/>
        </w:rPr>
        <w:t>理财计划财产的年托管费率为0.005%，计算方法如下：</w:t>
      </w:r>
    </w:p>
    <w:p>
      <w:pPr>
        <w:adjustRightInd w:val="0"/>
        <w:snapToGrid w:val="0"/>
        <w:spacing w:line="286" w:lineRule="auto"/>
        <w:rPr>
          <w:rFonts w:hint="eastAsia"/>
          <w:sz w:val="18"/>
          <w:szCs w:val="18"/>
        </w:rPr>
      </w:pPr>
      <w:r>
        <w:rPr>
          <w:rFonts w:hint="eastAsia"/>
          <w:sz w:val="18"/>
          <w:szCs w:val="18"/>
        </w:rPr>
        <w:t>H＝E×0.005％÷365</w:t>
      </w:r>
    </w:p>
    <w:p>
      <w:pPr>
        <w:adjustRightInd w:val="0"/>
        <w:snapToGrid w:val="0"/>
        <w:spacing w:line="286" w:lineRule="auto"/>
        <w:rPr>
          <w:rFonts w:hint="eastAsia"/>
          <w:sz w:val="18"/>
          <w:szCs w:val="18"/>
        </w:rPr>
      </w:pPr>
      <w:r>
        <w:rPr>
          <w:rFonts w:hint="eastAsia"/>
          <w:sz w:val="18"/>
          <w:szCs w:val="18"/>
        </w:rPr>
        <w:t>H为每日应计提的托管费</w:t>
      </w:r>
    </w:p>
    <w:p>
      <w:pPr>
        <w:adjustRightInd w:val="0"/>
        <w:snapToGrid w:val="0"/>
        <w:spacing w:line="286" w:lineRule="auto"/>
        <w:rPr>
          <w:rFonts w:hint="eastAsia"/>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rFonts w:hint="eastAsia"/>
          <w:sz w:val="18"/>
          <w:szCs w:val="18"/>
        </w:rPr>
      </w:pPr>
      <w:r>
        <w:rPr>
          <w:rFonts w:hint="eastAsia"/>
          <w:sz w:val="18"/>
          <w:szCs w:val="18"/>
        </w:rPr>
        <w:t>托管费原则上按日计提，逐日累计至每季度最后一个自然月的15日（如遇法定节假日顺延）从理财计划财产中扣除。</w:t>
      </w:r>
    </w:p>
    <w:p>
      <w:pPr>
        <w:adjustRightInd w:val="0"/>
        <w:snapToGrid w:val="0"/>
        <w:spacing w:line="286" w:lineRule="auto"/>
        <w:rPr>
          <w:rFonts w:hint="eastAsia"/>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本理财计划收益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b/>
          <w:sz w:val="18"/>
          <w:szCs w:val="18"/>
        </w:rPr>
      </w:pPr>
      <w:r>
        <w:rPr>
          <w:rFonts w:hint="eastAsia"/>
          <w:b/>
          <w:sz w:val="18"/>
          <w:szCs w:val="18"/>
        </w:rPr>
        <w:t>理财</w:t>
      </w:r>
      <w:r>
        <w:rPr>
          <w:b/>
          <w:sz w:val="18"/>
          <w:szCs w:val="18"/>
        </w:rPr>
        <w:t>计划利益分配</w:t>
      </w:r>
    </w:p>
    <w:p>
      <w:pPr>
        <w:adjustRightInd w:val="0"/>
        <w:snapToGrid w:val="0"/>
        <w:spacing w:line="286" w:lineRule="auto"/>
        <w:rPr>
          <w:rFonts w:hint="eastAsia"/>
          <w:sz w:val="18"/>
          <w:szCs w:val="18"/>
        </w:rPr>
      </w:pPr>
      <w:r>
        <w:rPr>
          <w:sz w:val="18"/>
          <w:szCs w:val="18"/>
        </w:rPr>
        <w:t>1.</w:t>
      </w:r>
      <w:r>
        <w:rPr>
          <w:rFonts w:hint="eastAsia"/>
          <w:sz w:val="18"/>
          <w:szCs w:val="18"/>
        </w:rPr>
        <w:t>本理财计划不定期进行收益分配。收益分配方式分两种：现金分红与红利再投资。温州银行可选择现金红利分配或将现金红利自动转为基金份额进行再投资的方式进行收益分配。温州银行应在收益分配日前1个工作日公告收益分配方案。</w:t>
      </w:r>
    </w:p>
    <w:p>
      <w:pPr>
        <w:adjustRightInd w:val="0"/>
        <w:snapToGrid w:val="0"/>
        <w:spacing w:line="286" w:lineRule="auto"/>
        <w:rPr>
          <w:sz w:val="18"/>
          <w:szCs w:val="18"/>
        </w:rPr>
      </w:pPr>
      <w:r>
        <w:rPr>
          <w:rFonts w:hint="eastAsia"/>
          <w:sz w:val="18"/>
          <w:szCs w:val="18"/>
        </w:rPr>
        <w:t>2.投资者持有本理财计划期间，温州银行不承诺保证本金安全且不保证理财收益，投资者在到期日的应得收益（如有）随投资盈亏水平浮动。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3.理财计划终止时，如理财计划项下财产全部变现，温州银行在理财计划终止日后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4.理财计划在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hint="eastAsia"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实际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rFonts w:hint="eastAsia"/>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10%，则发生巨额赎回事件，温州银行有权拒绝接受超过10%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rPr>
        <w:t>证券</w:t>
      </w:r>
      <w:r>
        <w:rPr>
          <w:rFonts w:ascii="宋体" w:hAnsi="宋体"/>
          <w:sz w:val="18"/>
          <w:szCs w:val="18"/>
        </w:rPr>
        <w:t>市场造成不同程度的影响，从而产生市场风险。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sz w:val="18"/>
          <w:szCs w:val="18"/>
        </w:rPr>
        <w:t>6</w:t>
      </w:r>
      <w:r>
        <w:rPr>
          <w:rFonts w:hint="eastAsia"/>
          <w:sz w:val="18"/>
          <w:szCs w:val="18"/>
        </w:rPr>
        <w:t>、早偿风险：如温州银行在特定情况下终止理财，则投资者可能将无法实现期初预期的全部收益。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7、</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6"/>
        <w:adjustRightInd w:val="0"/>
        <w:snapToGrid w:val="0"/>
        <w:spacing w:line="286" w:lineRule="auto"/>
        <w:ind w:firstLine="0"/>
        <w:rPr>
          <w:rFonts w:ascii="Times New Roman" w:hAnsi="Times New Roman" w:cs="Times New Roman"/>
          <w:kern w:val="2"/>
          <w:sz w:val="18"/>
          <w:szCs w:val="18"/>
        </w:rPr>
      </w:pPr>
      <w:r>
        <w:rPr>
          <w:rFonts w:hint="eastAsia"/>
          <w:sz w:val="18"/>
          <w:szCs w:val="18"/>
        </w:rPr>
        <w:t>8、</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6"/>
        <w:adjustRightInd w:val="0"/>
        <w:snapToGrid w:val="0"/>
        <w:spacing w:line="286" w:lineRule="auto"/>
        <w:ind w:firstLine="0"/>
        <w:rPr>
          <w:sz w:val="18"/>
          <w:szCs w:val="18"/>
        </w:rPr>
      </w:pPr>
      <w:r>
        <w:rPr>
          <w:rFonts w:hint="eastAsia" w:ascii="宋体" w:hAnsi="宋体"/>
          <w:sz w:val="18"/>
          <w:szCs w:val="18"/>
        </w:rPr>
        <w:t>9、</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10、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11、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rFonts w:hint="eastAsia"/>
          <w:b/>
          <w:sz w:val="18"/>
          <w:szCs w:val="18"/>
        </w:rPr>
      </w:pPr>
      <w:r>
        <w:rPr>
          <w:rFonts w:hint="eastAsia"/>
          <w:b/>
          <w:sz w:val="18"/>
          <w:szCs w:val="18"/>
        </w:rPr>
        <w:t>信息公告</w:t>
      </w:r>
    </w:p>
    <w:p>
      <w:pPr>
        <w:adjustRightInd w:val="0"/>
        <w:snapToGrid w:val="0"/>
        <w:spacing w:line="286" w:lineRule="auto"/>
        <w:rPr>
          <w:rFonts w:hint="eastAsia"/>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rFonts w:hint="eastAsia"/>
          <w:sz w:val="18"/>
          <w:szCs w:val="18"/>
        </w:rPr>
      </w:pPr>
      <w:r>
        <w:rPr>
          <w:rFonts w:hint="eastAsia"/>
          <w:sz w:val="18"/>
          <w:szCs w:val="18"/>
        </w:rPr>
        <w:t>2、定期公告：</w:t>
      </w:r>
    </w:p>
    <w:p>
      <w:pPr>
        <w:adjustRightInd w:val="0"/>
        <w:snapToGrid w:val="0"/>
        <w:spacing w:line="286" w:lineRule="auto"/>
        <w:rPr>
          <w:rFonts w:hint="eastAsia"/>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每个产品工作日及非理财产品工作日期间的每一自然日的产品份额净值、份额累计净值、认购（申购）价格和赎回价格，均在下一产品工作日披露。</w:t>
      </w:r>
    </w:p>
    <w:p>
      <w:pPr>
        <w:adjustRightInd w:val="0"/>
        <w:snapToGrid w:val="0"/>
        <w:spacing w:line="286" w:lineRule="auto"/>
        <w:rPr>
          <w:rFonts w:hint="eastAsia"/>
          <w:sz w:val="18"/>
          <w:szCs w:val="18"/>
        </w:rPr>
      </w:pPr>
      <w:r>
        <w:rPr>
          <w:rFonts w:hint="eastAsia"/>
          <w:sz w:val="18"/>
          <w:szCs w:val="18"/>
        </w:rPr>
        <w:t>3、临时性公告</w:t>
      </w:r>
    </w:p>
    <w:p>
      <w:pPr>
        <w:adjustRightInd w:val="0"/>
        <w:snapToGrid w:val="0"/>
        <w:spacing w:line="286" w:lineRule="auto"/>
        <w:rPr>
          <w:rFonts w:hint="eastAsia"/>
          <w:sz w:val="18"/>
          <w:szCs w:val="18"/>
        </w:rPr>
      </w:pPr>
      <w:r>
        <w:rPr>
          <w:rFonts w:hint="eastAsia"/>
          <w:sz w:val="18"/>
          <w:szCs w:val="18"/>
        </w:rPr>
        <w:t>（1）在本理财产品存续期间，温州银行可以提前1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1个工作日发布相关信息公告通知投资者。修订后的产品说明书对投资者具有法律约束力。</w:t>
      </w:r>
    </w:p>
    <w:p>
      <w:pPr>
        <w:adjustRightInd w:val="0"/>
        <w:snapToGrid w:val="0"/>
        <w:spacing w:line="286" w:lineRule="auto"/>
        <w:rPr>
          <w:rFonts w:hint="eastAsia"/>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rFonts w:hint="eastAsia"/>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rFonts w:hint="eastAsia"/>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rFonts w:hint="eastAsia"/>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6" w:lineRule="auto"/>
        <w:rPr>
          <w:rFonts w:hint="eastAsia"/>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6" w:lineRule="auto"/>
        <w:rPr>
          <w:rFonts w:hint="eastAsia"/>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6"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6"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6"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6" w:lineRule="auto"/>
        <w:rPr>
          <w:sz w:val="18"/>
          <w:szCs w:val="18"/>
        </w:rPr>
      </w:pPr>
      <w:r>
        <w:rPr>
          <w:rFonts w:hint="eastAsia"/>
          <w:sz w:val="18"/>
          <w:szCs w:val="18"/>
        </w:rPr>
        <w:t>法律、行政法规和国务院监督管理机构另有规定或允许情形。</w:t>
      </w:r>
    </w:p>
    <w:p>
      <w:pPr>
        <w:adjustRightInd w:val="0"/>
        <w:snapToGrid w:val="0"/>
        <w:spacing w:line="27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办理，机构投资者请带营业执照原件及复印件（加盖公章）、法人代表授权书、机构公章、法人代表身份证原件及复印件（加盖公章）、被授权人身份证原件及复印件（加盖公章）、预留银行印鉴等到温州银行营业网点办理；或个人投资者/机构投资者登录温州银行网银专业版、手机银行等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产品认购（申购）确认日实现资金扣划，相应认购（申购）将做失败处理。</w:t>
      </w:r>
    </w:p>
    <w:p>
      <w:pPr>
        <w:adjustRightInd w:val="0"/>
        <w:snapToGrid w:val="0"/>
        <w:spacing w:line="286" w:lineRule="auto"/>
        <w:rPr>
          <w:rFonts w:hint="eastAsia"/>
          <w:sz w:val="18"/>
          <w:szCs w:val="18"/>
        </w:rPr>
      </w:pPr>
      <w:r>
        <w:rPr>
          <w:sz w:val="18"/>
          <w:szCs w:val="18"/>
        </w:rPr>
        <w:t>3</w:t>
      </w:r>
      <w:r>
        <w:rPr>
          <w:rFonts w:hint="eastAsia"/>
          <w:sz w:val="18"/>
          <w:szCs w:val="18"/>
        </w:rPr>
        <w:t>、产品发行规模有限，售完即止。</w:t>
      </w:r>
    </w:p>
    <w:p>
      <w:pPr>
        <w:adjustRightInd w:val="0"/>
        <w:snapToGrid w:val="0"/>
        <w:spacing w:line="286" w:lineRule="auto"/>
        <w:rPr>
          <w:rFonts w:hint="eastAsia"/>
          <w:b/>
          <w:sz w:val="18"/>
          <w:szCs w:val="18"/>
        </w:rPr>
      </w:pPr>
      <w:r>
        <w:rPr>
          <w:rFonts w:hint="eastAsia"/>
          <w:b/>
          <w:sz w:val="18"/>
          <w:szCs w:val="18"/>
        </w:rPr>
        <w:t>法律适用与争议解决</w:t>
      </w:r>
    </w:p>
    <w:p>
      <w:pPr>
        <w:adjustRightInd w:val="0"/>
        <w:snapToGrid w:val="0"/>
        <w:spacing w:line="286" w:lineRule="auto"/>
        <w:rPr>
          <w:rFonts w:hint="eastAsia"/>
          <w:sz w:val="18"/>
          <w:szCs w:val="18"/>
        </w:rPr>
      </w:pPr>
      <w:r>
        <w:rPr>
          <w:rFonts w:hint="eastAsia"/>
          <w:sz w:val="18"/>
          <w:szCs w:val="18"/>
        </w:rPr>
        <w:t>1.法律适用</w:t>
      </w:r>
    </w:p>
    <w:p>
      <w:pPr>
        <w:adjustRightInd w:val="0"/>
        <w:snapToGrid w:val="0"/>
        <w:spacing w:line="286" w:lineRule="auto"/>
        <w:rPr>
          <w:rFonts w:hint="eastAsia"/>
          <w:sz w:val="18"/>
          <w:szCs w:val="18"/>
        </w:rPr>
      </w:pPr>
      <w:r>
        <w:rPr>
          <w:rFonts w:hint="eastAsia"/>
          <w:sz w:val="18"/>
          <w:szCs w:val="18"/>
        </w:rPr>
        <w:t>理财计划合同的订立、生效、履行、修改和终止等事项适用中国内地法律。</w:t>
      </w:r>
    </w:p>
    <w:p>
      <w:pPr>
        <w:adjustRightInd w:val="0"/>
        <w:snapToGrid w:val="0"/>
        <w:spacing w:line="286" w:lineRule="auto"/>
        <w:rPr>
          <w:rFonts w:hint="eastAsia"/>
          <w:sz w:val="18"/>
          <w:szCs w:val="18"/>
        </w:rPr>
      </w:pPr>
      <w:r>
        <w:rPr>
          <w:rFonts w:hint="eastAsia"/>
          <w:sz w:val="18"/>
          <w:szCs w:val="18"/>
        </w:rPr>
        <w:t>2.争议解决</w:t>
      </w:r>
    </w:p>
    <w:p>
      <w:pPr>
        <w:adjustRightInd w:val="0"/>
        <w:snapToGrid w:val="0"/>
        <w:spacing w:line="286" w:lineRule="auto"/>
        <w:rPr>
          <w:rFonts w:hint="eastAsia"/>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小Hi钱包”开放式净值型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1" w:lineRule="auto"/>
        <w:rPr>
          <w:rFonts w:hint="eastAsia" w:ascii="宋体" w:hAnsi="宋体"/>
          <w:szCs w:val="21"/>
        </w:rPr>
      </w:pPr>
      <w:r>
        <w:rPr>
          <w:rFonts w:hint="eastAsia" w:ascii="宋体" w:hAnsi="宋体"/>
          <w:szCs w:val="21"/>
        </w:rPr>
        <w:t xml:space="preserve">         投资者签章：                                 日期：</w:t>
      </w: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4</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0yxag7GqbVexk4BJSAOm78vjBVo=" w:salt="ueUTCK/2YPGK75Cplr8Axg=="/>
  <w:defaultTabStop w:val="420"/>
  <w:hyphenationZone w:val="36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76E2C"/>
    <w:rsid w:val="00090F2F"/>
    <w:rsid w:val="000962E0"/>
    <w:rsid w:val="000A5D36"/>
    <w:rsid w:val="00151CD8"/>
    <w:rsid w:val="001B2E82"/>
    <w:rsid w:val="001E3E46"/>
    <w:rsid w:val="00240B17"/>
    <w:rsid w:val="002E29E1"/>
    <w:rsid w:val="002F1CD4"/>
    <w:rsid w:val="00313D82"/>
    <w:rsid w:val="003839BF"/>
    <w:rsid w:val="00415BFB"/>
    <w:rsid w:val="00430500"/>
    <w:rsid w:val="004702B4"/>
    <w:rsid w:val="004B149F"/>
    <w:rsid w:val="004D632E"/>
    <w:rsid w:val="004E1BC4"/>
    <w:rsid w:val="004F3D56"/>
    <w:rsid w:val="00533B6D"/>
    <w:rsid w:val="00561460"/>
    <w:rsid w:val="006070F0"/>
    <w:rsid w:val="00642EFA"/>
    <w:rsid w:val="006C24F6"/>
    <w:rsid w:val="00711B33"/>
    <w:rsid w:val="00726556"/>
    <w:rsid w:val="00841893"/>
    <w:rsid w:val="008437BB"/>
    <w:rsid w:val="008966E3"/>
    <w:rsid w:val="008D5859"/>
    <w:rsid w:val="00904AE6"/>
    <w:rsid w:val="009C1C65"/>
    <w:rsid w:val="009D7829"/>
    <w:rsid w:val="00A5411F"/>
    <w:rsid w:val="00A667CE"/>
    <w:rsid w:val="00A74DD7"/>
    <w:rsid w:val="00AB4EEA"/>
    <w:rsid w:val="00B0469F"/>
    <w:rsid w:val="00B26216"/>
    <w:rsid w:val="00B656A8"/>
    <w:rsid w:val="00B873B9"/>
    <w:rsid w:val="00BA035A"/>
    <w:rsid w:val="00BD00BD"/>
    <w:rsid w:val="00BF5F08"/>
    <w:rsid w:val="00C503B2"/>
    <w:rsid w:val="00C84777"/>
    <w:rsid w:val="00CC30DF"/>
    <w:rsid w:val="00CC5CBF"/>
    <w:rsid w:val="00CF5DA4"/>
    <w:rsid w:val="00D003E3"/>
    <w:rsid w:val="00D911CD"/>
    <w:rsid w:val="00DC7332"/>
    <w:rsid w:val="00E36D02"/>
    <w:rsid w:val="00E743FE"/>
    <w:rsid w:val="00E817AD"/>
    <w:rsid w:val="00E87E78"/>
    <w:rsid w:val="00F003E0"/>
    <w:rsid w:val="00F23742"/>
    <w:rsid w:val="00F94FF2"/>
    <w:rsid w:val="00FE0C6E"/>
    <w:rsid w:val="00FE2991"/>
    <w:rsid w:val="01107283"/>
    <w:rsid w:val="013F1C80"/>
    <w:rsid w:val="041A501F"/>
    <w:rsid w:val="0461115B"/>
    <w:rsid w:val="055A45C0"/>
    <w:rsid w:val="056A5112"/>
    <w:rsid w:val="05BE5868"/>
    <w:rsid w:val="05F305C5"/>
    <w:rsid w:val="098E3976"/>
    <w:rsid w:val="0BA13524"/>
    <w:rsid w:val="0BA820C6"/>
    <w:rsid w:val="0CFF2DE6"/>
    <w:rsid w:val="0D80050B"/>
    <w:rsid w:val="0DD2713B"/>
    <w:rsid w:val="0DF24A64"/>
    <w:rsid w:val="0E490064"/>
    <w:rsid w:val="0E4A4F72"/>
    <w:rsid w:val="10630E08"/>
    <w:rsid w:val="10752629"/>
    <w:rsid w:val="109C216B"/>
    <w:rsid w:val="11C64501"/>
    <w:rsid w:val="129A06A2"/>
    <w:rsid w:val="12FF4DD6"/>
    <w:rsid w:val="138D0757"/>
    <w:rsid w:val="13CC785B"/>
    <w:rsid w:val="13E4398C"/>
    <w:rsid w:val="16CA708E"/>
    <w:rsid w:val="16EE7258"/>
    <w:rsid w:val="17892312"/>
    <w:rsid w:val="1877237B"/>
    <w:rsid w:val="1AA92705"/>
    <w:rsid w:val="1B3E22C5"/>
    <w:rsid w:val="1C065DF7"/>
    <w:rsid w:val="1C863115"/>
    <w:rsid w:val="1DC92858"/>
    <w:rsid w:val="1E2622AE"/>
    <w:rsid w:val="1E454318"/>
    <w:rsid w:val="20C132BF"/>
    <w:rsid w:val="22D74067"/>
    <w:rsid w:val="23C11809"/>
    <w:rsid w:val="24845E93"/>
    <w:rsid w:val="2529282F"/>
    <w:rsid w:val="25C1363B"/>
    <w:rsid w:val="25DD323A"/>
    <w:rsid w:val="2630346C"/>
    <w:rsid w:val="26DB7B54"/>
    <w:rsid w:val="282836D2"/>
    <w:rsid w:val="294854C0"/>
    <w:rsid w:val="29D658FB"/>
    <w:rsid w:val="2AE21E1E"/>
    <w:rsid w:val="2B5D4DA9"/>
    <w:rsid w:val="2C065E68"/>
    <w:rsid w:val="2C797C58"/>
    <w:rsid w:val="2CF84B28"/>
    <w:rsid w:val="2CFF7EE5"/>
    <w:rsid w:val="2D2F628D"/>
    <w:rsid w:val="2D8F5880"/>
    <w:rsid w:val="304709FE"/>
    <w:rsid w:val="30873011"/>
    <w:rsid w:val="3192594D"/>
    <w:rsid w:val="32600E2A"/>
    <w:rsid w:val="330C1935"/>
    <w:rsid w:val="351A7ABC"/>
    <w:rsid w:val="35635518"/>
    <w:rsid w:val="35680161"/>
    <w:rsid w:val="38186C0B"/>
    <w:rsid w:val="3A5C3144"/>
    <w:rsid w:val="3B2E37B1"/>
    <w:rsid w:val="3B7B17B6"/>
    <w:rsid w:val="3BB36232"/>
    <w:rsid w:val="3CA95CCE"/>
    <w:rsid w:val="3CD60CF3"/>
    <w:rsid w:val="3D3D61A4"/>
    <w:rsid w:val="3DE94EFA"/>
    <w:rsid w:val="3E137833"/>
    <w:rsid w:val="3E5C100F"/>
    <w:rsid w:val="40182ABB"/>
    <w:rsid w:val="43710A36"/>
    <w:rsid w:val="44491D08"/>
    <w:rsid w:val="44D7779F"/>
    <w:rsid w:val="462D3213"/>
    <w:rsid w:val="47126E8A"/>
    <w:rsid w:val="476D07C1"/>
    <w:rsid w:val="477957E1"/>
    <w:rsid w:val="493C1AF2"/>
    <w:rsid w:val="4AB32B04"/>
    <w:rsid w:val="4C8F21E7"/>
    <w:rsid w:val="4CEC0C86"/>
    <w:rsid w:val="4D517EC4"/>
    <w:rsid w:val="4E3F1A3D"/>
    <w:rsid w:val="4EC917E6"/>
    <w:rsid w:val="50B31F53"/>
    <w:rsid w:val="5217692E"/>
    <w:rsid w:val="52551C57"/>
    <w:rsid w:val="52807E6D"/>
    <w:rsid w:val="52F50261"/>
    <w:rsid w:val="542B731D"/>
    <w:rsid w:val="5621068C"/>
    <w:rsid w:val="575177BB"/>
    <w:rsid w:val="57BC002D"/>
    <w:rsid w:val="57F47422"/>
    <w:rsid w:val="58957134"/>
    <w:rsid w:val="589967D1"/>
    <w:rsid w:val="58B403AE"/>
    <w:rsid w:val="58E46088"/>
    <w:rsid w:val="5A5968D6"/>
    <w:rsid w:val="5AA86F7C"/>
    <w:rsid w:val="5C2610B6"/>
    <w:rsid w:val="5CF67827"/>
    <w:rsid w:val="5D2F7B31"/>
    <w:rsid w:val="5D8416F7"/>
    <w:rsid w:val="5E8534B5"/>
    <w:rsid w:val="610F25EF"/>
    <w:rsid w:val="626D6645"/>
    <w:rsid w:val="628B4E13"/>
    <w:rsid w:val="636F3A18"/>
    <w:rsid w:val="638336A4"/>
    <w:rsid w:val="644D2BDF"/>
    <w:rsid w:val="65B57720"/>
    <w:rsid w:val="66195B93"/>
    <w:rsid w:val="682135D3"/>
    <w:rsid w:val="687D4866"/>
    <w:rsid w:val="68AB76DF"/>
    <w:rsid w:val="6B487FD6"/>
    <w:rsid w:val="6B4B3424"/>
    <w:rsid w:val="6B5424D8"/>
    <w:rsid w:val="6BEA4E88"/>
    <w:rsid w:val="6C305543"/>
    <w:rsid w:val="6D763CAB"/>
    <w:rsid w:val="6E44457D"/>
    <w:rsid w:val="6F9406F7"/>
    <w:rsid w:val="708827A5"/>
    <w:rsid w:val="71AC58D0"/>
    <w:rsid w:val="721944C5"/>
    <w:rsid w:val="738665D9"/>
    <w:rsid w:val="75EE1A0C"/>
    <w:rsid w:val="79416709"/>
    <w:rsid w:val="799C1ED9"/>
    <w:rsid w:val="7A6E0CA3"/>
    <w:rsid w:val="7A724AA8"/>
    <w:rsid w:val="7A7509DC"/>
    <w:rsid w:val="7A7957AE"/>
    <w:rsid w:val="7AB61D86"/>
    <w:rsid w:val="7B6E3D14"/>
    <w:rsid w:val="7BE27B62"/>
    <w:rsid w:val="7CB110A9"/>
    <w:rsid w:val="7D7D607E"/>
    <w:rsid w:val="7E046FB3"/>
    <w:rsid w:val="7E6E6290"/>
    <w:rsid w:val="7F560AEA"/>
    <w:rsid w:val="7F744F76"/>
    <w:rsid w:val="7FAB4E13"/>
    <w:rsid w:val="7FDB6D55"/>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alloon Text"/>
    <w:basedOn w:val="1"/>
    <w:link w:val="11"/>
    <w:qFormat/>
    <w:uiPriority w:val="0"/>
    <w:rPr>
      <w:sz w:val="18"/>
      <w:szCs w:val="18"/>
    </w:rPr>
  </w:style>
  <w:style w:type="paragraph" w:styleId="4">
    <w:name w:val="footer"/>
    <w:basedOn w:val="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2"/>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character" w:styleId="9">
    <w:name w:val="Hyperlink"/>
    <w:qFormat/>
    <w:uiPriority w:val="0"/>
    <w:rPr>
      <w:color w:val="0563C1"/>
      <w:u w:val="single"/>
    </w:rPr>
  </w:style>
  <w:style w:type="character" w:styleId="10">
    <w:name w:val="annotation reference"/>
    <w:unhideWhenUsed/>
    <w:qFormat/>
    <w:uiPriority w:val="99"/>
    <w:rPr>
      <w:sz w:val="21"/>
      <w:szCs w:val="21"/>
    </w:rPr>
  </w:style>
  <w:style w:type="character" w:customStyle="1" w:styleId="11">
    <w:name w:val="批注框文本 字符"/>
    <w:link w:val="3"/>
    <w:qFormat/>
    <w:uiPriority w:val="0"/>
    <w:rPr>
      <w:rFonts w:ascii="Times New Roman" w:hAnsi="Times New Roman"/>
      <w:kern w:val="2"/>
      <w:sz w:val="18"/>
      <w:szCs w:val="18"/>
    </w:rPr>
  </w:style>
  <w:style w:type="character" w:customStyle="1" w:styleId="12">
    <w:name w:val="页眉 字符"/>
    <w:link w:val="5"/>
    <w:qFormat/>
    <w:uiPriority w:val="0"/>
    <w:rPr>
      <w:rFonts w:ascii="Times New Roman" w:hAnsi="Times New Roman"/>
      <w:kern w:val="2"/>
      <w:sz w:val="18"/>
      <w:szCs w:val="18"/>
    </w:rPr>
  </w:style>
  <w:style w:type="paragraph" w:customStyle="1" w:styleId="13">
    <w:name w:val="msonormalcxspmiddle"/>
    <w:basedOn w:val="1"/>
    <w:qFormat/>
    <w:uiPriority w:val="0"/>
    <w:pPr>
      <w:widowControl/>
      <w:spacing w:before="100" w:beforeLines="0" w:beforeAutospacing="1" w:after="100" w:afterLines="0" w:afterAutospacing="1"/>
      <w:jc w:val="left"/>
    </w:pPr>
    <w:rPr>
      <w:rFonts w:ascii="宋体" w:hAnsi="宋体" w:cs="宋体"/>
      <w:kern w:val="0"/>
      <w:sz w:val="24"/>
      <w:szCs w:val="24"/>
    </w:rPr>
  </w:style>
  <w:style w:type="paragraph" w:customStyle="1" w:styleId="14">
    <w:name w:val="_Style 12"/>
    <w:unhideWhenUsed/>
    <w:qFormat/>
    <w:uiPriority w:val="99"/>
    <w:rPr>
      <w:rFonts w:ascii="Times New Roman" w:hAnsi="Times New Roman" w:eastAsia="宋体" w:cs="Times New Roman"/>
      <w:kern w:val="2"/>
      <w:sz w:val="21"/>
      <w:lang w:val="en-US" w:eastAsia="zh-CN" w:bidi="ar-SA"/>
    </w:rPr>
  </w:style>
  <w:style w:type="paragraph" w:customStyle="1" w:styleId="15">
    <w:name w:val="Table Paragraph"/>
    <w:basedOn w:val="1"/>
    <w:qFormat/>
    <w:uiPriority w:val="1"/>
    <w:pPr>
      <w:autoSpaceDE w:val="0"/>
      <w:autoSpaceDN w:val="0"/>
      <w:adjustRightInd w:val="0"/>
      <w:jc w:val="left"/>
    </w:pPr>
    <w:rPr>
      <w:kern w:val="0"/>
      <w:sz w:val="24"/>
      <w:szCs w:val="24"/>
    </w:rPr>
  </w:style>
  <w:style w:type="paragraph" w:styleId="16">
    <w:name w:val="List Paragraph"/>
    <w:basedOn w:val="1"/>
    <w:qFormat/>
    <w:uiPriority w:val="34"/>
    <w:pPr>
      <w:widowControl/>
      <w:ind w:firstLine="420"/>
    </w:pPr>
    <w:rPr>
      <w:rFonts w:ascii="Calibri" w:hAnsi="Calibri" w:cs="宋体"/>
      <w:kern w:val="0"/>
      <w:szCs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11</Pages>
  <Words>15993</Words>
  <Characters>16313</Characters>
  <Lines>122</Lines>
  <Paragraphs>34</Paragraphs>
  <TotalTime>0</TotalTime>
  <ScaleCrop>false</ScaleCrop>
  <LinksUpToDate>false</LinksUpToDate>
  <CharactersWithSpaces>16605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2022-05-12T01:19:00Z</dcterms:created>
  <dc:creator>李少华</dc:creator>
  <cp:lastModifiedBy>应心茹</cp:lastModifiedBy>
  <dcterms:modified xsi:type="dcterms:W3CDTF">2025-09-09T06:40:04Z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2CDBE6595E1741C1B51DB90461ECB95C_13</vt:lpwstr>
  </property>
  <property fmtid="{D5CDD505-2E9C-101B-9397-08002B2CF9AE}" pid="4" name="KSOTemplateDocerSaveRecord">
    <vt:lpwstr>eyJoZGlkIjoiZWNlNjU5NjliMTgyYzBmZjRiNGFhMjFmOTUwYjlmZDgiLCJ1c2VySWQiOiIzOTQzMjAxMTgifQ==</vt:lpwstr>
  </property>
</Properties>
</file>