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7号开放式净值型银行理财计划产品说明书》、《温州银行“金鹿理财-普惠季享”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C1092221000150</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2021年7月6日</w:t>
            </w:r>
            <w:r>
              <w:rPr>
                <w:rFonts w:hint="eastAsia"/>
                <w:sz w:val="18"/>
                <w:szCs w:val="18"/>
                <w:u w:val="single"/>
              </w:rPr>
              <w:t>至</w:t>
            </w:r>
            <w:r>
              <w:rPr>
                <w:rFonts w:hint="eastAsia"/>
                <w:color w:val="000000"/>
                <w:sz w:val="18"/>
                <w:szCs w:val="18"/>
                <w:u w:val="single"/>
                <w:lang w:val="en-US" w:eastAsia="zh-CN"/>
              </w:rPr>
              <w:t>2021年7月12日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：本理财计划成立日为2021年7月13日，从成立日起，每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7号开放式净值型银行理财计划风险揭示书》、《温州银行“金鹿理财”银行理财计划合约》、《温州银行“金鹿理财-普惠季享”7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C/3T/NgJCuZC6CS6Xu5Ia6Jljc=" w:salt="D0x7nXfUOrN3i/uFHevGb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0753829"/>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User</cp:lastModifiedBy>
  <cp:lastPrinted>2022-01-07T07:48:00Z</cp:lastPrinted>
  <dcterms:modified xsi:type="dcterms:W3CDTF">2025-09-25T09:25:19Z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