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19021号开放式净值型银行理财计划产品说明书》、《温州银行“金鹿理财-温盈”19021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2019年9月5日</w:t>
            </w:r>
            <w:r>
              <w:rPr>
                <w:rFonts w:hint="eastAsia"/>
                <w:sz w:val="18"/>
                <w:szCs w:val="18"/>
                <w:u w:val="single"/>
              </w:rPr>
              <w:t>至</w:t>
            </w:r>
            <w:r>
              <w:rPr>
                <w:rFonts w:hint="eastAsia"/>
                <w:color w:val="000000"/>
                <w:sz w:val="18"/>
                <w:szCs w:val="18"/>
                <w:u w:val="single"/>
                <w:lang w:val="en-US" w:eastAsia="zh-CN"/>
              </w:rPr>
              <w:t>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：本理财计划成立日为2019年9月11日，从成立日起，每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19021号开放式净值型银行理财计划风险揭示书》、《温州银行“金鹿理财”银行理财计划合约》、《温州银行“金鹿理财-温盈”19021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ZVhTrbrGTDzhTng4oQgYFhlAt0=" w:salt="yHWFNw3N/X2qNceNbqa2J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9A402C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2025-10-11T05:24:31Z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