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19022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19022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“金鹿理财-温盈”19022号开放式净值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19022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19022号开放式净值型银行理财计划产品说明书》、《温州银行“金鹿理财-温盈”19022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19022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温盈”19022号开放式净值型银行理财计划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19022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2019年9月12日</w:t>
            </w:r>
            <w:r>
              <w:rPr>
                <w:rFonts w:hint="eastAsia"/>
                <w:sz w:val="18"/>
                <w:szCs w:val="18"/>
                <w:u w:val="single"/>
              </w:rPr>
              <w:t>至</w:t>
            </w:r>
            <w:r>
              <w:rPr>
                <w:rFonts w:hint="eastAsia"/>
                <w:color w:val="000000"/>
                <w:sz w:val="18"/>
                <w:szCs w:val="18"/>
                <w:u w:val="single"/>
                <w:lang w:val="en-US" w:eastAsia="zh-CN"/>
              </w:rPr>
              <w:t>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《温州银行“金鹿理财-温盈”19022号开放式净值型（第i期）银行理财计划开放认购（申购）申请书》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《温州银行“金鹿理财-温盈”19022号开放式净值型（第i期）银行理财计划开放认购（申购）申请书》。投资运作周期到期时，该周期内的资金收益情况根据所投资资产组合的实际运作情况确定。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：本理财计划成立日为2019年9月18日，从成立日起，每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本产品预计到期终止日为2029年9月18日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19022号开放式净值型银行理财计划风险揭示书》、《温州银行“金鹿理财”银行理财计划合约》、《温州银行“金鹿理财-温盈”19022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w+MDWPvWC9xDKkHamWQRtC3p2E=" w:salt="wSfPXzInppfN56U+0IDyb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AE31AA4"/>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2025-10-26T08:57:25Z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