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8A2B9B">
      <w:pPr>
        <w:spacing w:line="372" w:lineRule="auto"/>
        <w:jc w:val="center"/>
        <w:rPr>
          <w:rFonts w:ascii="宋体" w:hAnsi="宋体"/>
          <w:sz w:val="30"/>
          <w:szCs w:val="30"/>
        </w:rPr>
      </w:pPr>
      <w:r>
        <w:rPr>
          <w:rFonts w:hint="eastAsia" w:ascii="黑体" w:eastAsia="黑体"/>
          <w:sz w:val="30"/>
          <w:szCs w:val="30"/>
        </w:rPr>
        <w:t>温州银行“金鹿理财-臻享”</w:t>
      </w:r>
      <w:r>
        <w:rPr>
          <w:rFonts w:ascii="黑体" w:eastAsia="黑体"/>
          <w:color w:val="000000"/>
          <w:sz w:val="30"/>
          <w:szCs w:val="30"/>
          <w:u w:val="single"/>
        </w:rPr>
        <w:t>25029</w:t>
      </w:r>
      <w:r>
        <w:rPr>
          <w:rFonts w:hint="eastAsia" w:ascii="黑体" w:eastAsia="黑体"/>
          <w:sz w:val="30"/>
          <w:szCs w:val="30"/>
          <w:u w:val="single"/>
        </w:rPr>
        <w:t>号</w:t>
      </w:r>
      <w:r>
        <w:rPr>
          <w:rFonts w:hint="eastAsia" w:ascii="黑体" w:eastAsia="黑体"/>
          <w:sz w:val="30"/>
          <w:szCs w:val="30"/>
        </w:rPr>
        <w:t>银行理财计划风险揭示书</w:t>
      </w:r>
    </w:p>
    <w:p w14:paraId="10E3FEF7">
      <w:pPr>
        <w:adjustRightInd w:val="0"/>
        <w:snapToGrid w:val="0"/>
        <w:spacing w:before="240" w:line="360" w:lineRule="auto"/>
        <w:rPr>
          <w:rFonts w:ascii="宋体" w:hAnsi="宋体"/>
          <w:b/>
          <w:szCs w:val="21"/>
        </w:rPr>
      </w:pPr>
      <w:r>
        <w:rPr>
          <w:rFonts w:hint="eastAsia" w:ascii="宋体" w:hAnsi="宋体"/>
          <w:b/>
          <w:szCs w:val="21"/>
        </w:rPr>
        <w:t>尊敬的客户：</w:t>
      </w:r>
    </w:p>
    <w:p w14:paraId="54194A88">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14:paraId="2CE65E0D">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臻享”</w:t>
      </w:r>
      <w:r>
        <w:rPr>
          <w:color w:val="000000"/>
          <w:szCs w:val="21"/>
          <w:u w:val="single"/>
        </w:rPr>
        <w:t>25029</w:t>
      </w:r>
      <w:r>
        <w:rPr>
          <w:rFonts w:hint="eastAsia"/>
          <w:szCs w:val="21"/>
          <w:u w:val="single"/>
        </w:rPr>
        <w:t>号</w:t>
      </w:r>
      <w:r>
        <w:rPr>
          <w:rFonts w:hint="eastAsia"/>
          <w:szCs w:val="21"/>
        </w:rPr>
        <w:t>银行理财计划，投资类型属于</w:t>
      </w:r>
      <w:r>
        <w:rPr>
          <w:rFonts w:hint="eastAsia"/>
          <w:szCs w:val="21"/>
          <w:u w:val="single"/>
          <w:lang w:val="en-US" w:eastAsia="zh-CN"/>
        </w:rPr>
        <w:t>混合</w:t>
      </w:r>
      <w:r>
        <w:rPr>
          <w:rFonts w:hint="eastAsia"/>
          <w:szCs w:val="21"/>
          <w:u w:val="single"/>
        </w:rPr>
        <w:t>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601</w:t>
      </w:r>
      <w:r>
        <w:rPr>
          <w:rFonts w:hint="eastAsia"/>
          <w:szCs w:val="21"/>
        </w:rPr>
        <w:t>天，本产品客户</w:t>
      </w:r>
      <w:r>
        <w:rPr>
          <w:rFonts w:hint="eastAsia"/>
          <w:szCs w:val="21"/>
          <w:u w:val="single"/>
        </w:rPr>
        <w:t>无提前</w:t>
      </w:r>
      <w:r>
        <w:rPr>
          <w:rFonts w:hint="eastAsia"/>
          <w:szCs w:val="21"/>
        </w:rPr>
        <w:t>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本理财产品适合客户：经温州银行评估为稳健型、平衡型、进取型、激进型的个人合格投资者。</w:t>
      </w:r>
      <w:r>
        <w:rPr>
          <w:rFonts w:hint="eastAsia" w:ascii="宋体" w:hAnsi="宋体"/>
          <w:b/>
          <w:bCs/>
          <w:szCs w:val="21"/>
        </w:rPr>
        <w:t>如影响您风险承受能力的因素发生变化，请在认购前及时重新完成风险承受能力评估。</w:t>
      </w:r>
    </w:p>
    <w:p w14:paraId="3A5EBD4E">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14:paraId="2FA56C3B">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14:paraId="20BF8E67">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三、本风险揭示书及《温州银行“金鹿理财-普惠臻享”</w:t>
      </w:r>
      <w:r>
        <w:rPr>
          <w:rFonts w:hint="eastAsia"/>
          <w:color w:val="000000"/>
          <w:szCs w:val="21"/>
          <w:u w:val="single"/>
        </w:rPr>
        <w:t>25029号</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臻享”</w:t>
      </w:r>
      <w:r>
        <w:rPr>
          <w:rFonts w:ascii="宋体"/>
          <w:color w:val="000000"/>
          <w:szCs w:val="21"/>
          <w:u w:val="single"/>
        </w:rPr>
        <w:t>25029</w:t>
      </w:r>
      <w:r>
        <w:rPr>
          <w:rFonts w:hint="eastAsia" w:ascii="宋体" w:hAnsi="宋体"/>
          <w:szCs w:val="21"/>
        </w:rPr>
        <w:t>号银行理财计划产品说明书》和《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14:paraId="0FB5FE62">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14:paraId="6313EBC4">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14:paraId="67E7B7E7">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14:paraId="0EB724DC">
      <w:pPr>
        <w:adjustRightInd w:val="0"/>
        <w:snapToGrid w:val="0"/>
        <w:spacing w:line="360" w:lineRule="auto"/>
        <w:rPr>
          <w:b/>
          <w:szCs w:val="21"/>
        </w:rPr>
      </w:pPr>
      <w:r>
        <w:rPr>
          <w:rFonts w:hint="eastAsia"/>
          <w:b/>
          <w:szCs w:val="21"/>
        </w:rPr>
        <w:t>本人经温州银行评估的风险承受能力等级为（客户填写）：</w:t>
      </w:r>
    </w:p>
    <w:p w14:paraId="4B7BC43E">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14:paraId="47F6761D">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14:paraId="71E29336">
      <w:pPr>
        <w:adjustRightInd w:val="0"/>
        <w:snapToGrid w:val="0"/>
        <w:spacing w:line="360" w:lineRule="auto"/>
        <w:rPr>
          <w:b/>
          <w:szCs w:val="21"/>
        </w:rPr>
      </w:pPr>
      <w:r>
        <w:rPr>
          <w:rFonts w:hint="eastAsia"/>
          <w:b/>
          <w:szCs w:val="21"/>
          <w:u w:val="single"/>
        </w:rPr>
        <w:t xml:space="preserve">                                                                                 </w:t>
      </w:r>
      <w:r>
        <w:rPr>
          <w:rFonts w:hint="eastAsia"/>
          <w:szCs w:val="21"/>
        </w:rPr>
        <w:t>。</w:t>
      </w:r>
    </w:p>
    <w:p w14:paraId="299CF1F9">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14:paraId="27980481">
      <w:pPr>
        <w:adjustRightInd w:val="0"/>
        <w:snapToGrid w:val="0"/>
        <w:spacing w:line="360" w:lineRule="auto"/>
        <w:rPr>
          <w:b/>
          <w:szCs w:val="21"/>
          <w:u w:val="single"/>
        </w:rPr>
      </w:pPr>
    </w:p>
    <w:p w14:paraId="73316CBE">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67BF7F4E">
      <w:pPr>
        <w:pStyle w:val="14"/>
        <w:adjustRightInd w:val="0"/>
        <w:snapToGrid w:val="0"/>
        <w:spacing w:before="0" w:beforeAutospacing="0" w:after="0" w:afterAutospacing="0" w:line="360" w:lineRule="auto"/>
        <w:jc w:val="center"/>
        <w:rPr>
          <w:rFonts w:ascii="黑体" w:eastAsia="黑体"/>
          <w:bCs/>
          <w:sz w:val="30"/>
          <w:szCs w:val="30"/>
          <w:u w:val="single"/>
        </w:rPr>
      </w:pPr>
      <w:r>
        <w:rPr>
          <w:rFonts w:hint="eastAsia" w:ascii="黑体" w:eastAsia="黑体"/>
          <w:bCs/>
          <w:sz w:val="30"/>
          <w:szCs w:val="30"/>
        </w:rPr>
        <w:t>温州银行“金鹿理财-臻享”</w:t>
      </w:r>
      <w:r>
        <w:rPr>
          <w:rFonts w:ascii="黑体" w:eastAsia="黑体"/>
          <w:bCs/>
          <w:color w:val="000000"/>
          <w:sz w:val="30"/>
          <w:szCs w:val="30"/>
          <w:u w:val="single"/>
        </w:rPr>
        <w:t>25029</w:t>
      </w:r>
      <w:r>
        <w:rPr>
          <w:rFonts w:hint="eastAsia" w:ascii="黑体" w:eastAsia="黑体"/>
          <w:bCs/>
          <w:sz w:val="30"/>
          <w:szCs w:val="30"/>
          <w:u w:val="single"/>
        </w:rPr>
        <w:t>号</w:t>
      </w:r>
    </w:p>
    <w:p w14:paraId="0885C1F5">
      <w:pPr>
        <w:pStyle w:val="14"/>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14:paraId="30C4F2EC">
      <w:pPr>
        <w:adjustRightInd w:val="0"/>
        <w:snapToGrid w:val="0"/>
        <w:spacing w:before="120" w:line="300" w:lineRule="auto"/>
        <w:rPr>
          <w:b/>
          <w:sz w:val="18"/>
          <w:szCs w:val="18"/>
        </w:rPr>
      </w:pPr>
      <w:r>
        <w:rPr>
          <w:rFonts w:hint="eastAsia"/>
          <w:b/>
          <w:sz w:val="18"/>
          <w:szCs w:val="18"/>
        </w:rPr>
        <w:t>重要须知</w:t>
      </w:r>
    </w:p>
    <w:p w14:paraId="7E6ADE9D">
      <w:pPr>
        <w:adjustRightInd w:val="0"/>
        <w:snapToGrid w:val="0"/>
        <w:spacing w:line="300" w:lineRule="auto"/>
        <w:rPr>
          <w:sz w:val="18"/>
          <w:szCs w:val="18"/>
        </w:rPr>
      </w:pPr>
      <w:r>
        <w:rPr>
          <w:rFonts w:hint="eastAsia"/>
          <w:sz w:val="18"/>
          <w:szCs w:val="18"/>
        </w:rPr>
        <w:t>本产品与银行存款存在明显区别，具有一定的风险。</w:t>
      </w:r>
    </w:p>
    <w:p w14:paraId="1BD2D3AB">
      <w:pPr>
        <w:adjustRightInd w:val="0"/>
        <w:snapToGrid w:val="0"/>
        <w:spacing w:line="300" w:lineRule="auto"/>
        <w:rPr>
          <w:sz w:val="18"/>
          <w:szCs w:val="18"/>
        </w:rPr>
      </w:pPr>
      <w:r>
        <w:rPr>
          <w:rFonts w:hint="eastAsia"/>
          <w:sz w:val="18"/>
          <w:szCs w:val="18"/>
        </w:rPr>
        <w:t>本产品适合于合格投资者。</w:t>
      </w:r>
    </w:p>
    <w:p w14:paraId="0E8687BB">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14:paraId="252689C9">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14:paraId="37F06CBF">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14:paraId="03704D45">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14:paraId="49659167">
      <w:pPr>
        <w:adjustRightInd w:val="0"/>
        <w:snapToGrid w:val="0"/>
        <w:spacing w:line="300" w:lineRule="auto"/>
        <w:rPr>
          <w:b/>
          <w:sz w:val="18"/>
          <w:szCs w:val="18"/>
        </w:rPr>
      </w:pPr>
      <w:r>
        <w:rPr>
          <w:rFonts w:hint="eastAsia"/>
          <w:b/>
          <w:sz w:val="18"/>
          <w:szCs w:val="18"/>
        </w:rPr>
        <w:t>释义</w:t>
      </w:r>
    </w:p>
    <w:p w14:paraId="0F00132C">
      <w:pPr>
        <w:adjustRightInd w:val="0"/>
        <w:snapToGrid w:val="0"/>
        <w:spacing w:line="300" w:lineRule="auto"/>
        <w:rPr>
          <w:sz w:val="18"/>
          <w:szCs w:val="18"/>
        </w:rPr>
      </w:pPr>
      <w:r>
        <w:rPr>
          <w:rFonts w:hint="eastAsia"/>
          <w:sz w:val="18"/>
          <w:szCs w:val="18"/>
        </w:rPr>
        <w:t>本说明书中，除非另有明确说明，否则下列词语或简称具有如下含义：</w:t>
      </w:r>
    </w:p>
    <w:p w14:paraId="4DE01BF7">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臻享”</w:t>
      </w:r>
      <w:r>
        <w:rPr>
          <w:color w:val="000000"/>
          <w:sz w:val="18"/>
          <w:szCs w:val="18"/>
        </w:rPr>
        <w:t>25029</w:t>
      </w:r>
      <w:r>
        <w:rPr>
          <w:rFonts w:hint="eastAsia"/>
          <w:sz w:val="18"/>
          <w:szCs w:val="18"/>
        </w:rPr>
        <w:t>号银行理财计划</w:t>
      </w:r>
    </w:p>
    <w:p w14:paraId="06361B78">
      <w:pPr>
        <w:adjustRightInd w:val="0"/>
        <w:snapToGrid w:val="0"/>
        <w:spacing w:line="300" w:lineRule="auto"/>
        <w:rPr>
          <w:sz w:val="18"/>
          <w:szCs w:val="18"/>
        </w:rPr>
      </w:pPr>
      <w:r>
        <w:rPr>
          <w:rFonts w:hint="eastAsia"/>
          <w:sz w:val="18"/>
          <w:szCs w:val="18"/>
        </w:rPr>
        <w:t>发行银行：指温州银行股份有限公司</w:t>
      </w:r>
    </w:p>
    <w:p w14:paraId="1C0C048E">
      <w:pPr>
        <w:adjustRightInd w:val="0"/>
        <w:snapToGrid w:val="0"/>
        <w:spacing w:line="300" w:lineRule="auto"/>
        <w:rPr>
          <w:sz w:val="18"/>
          <w:szCs w:val="18"/>
        </w:rPr>
      </w:pPr>
      <w:r>
        <w:rPr>
          <w:rFonts w:hint="eastAsia"/>
          <w:sz w:val="18"/>
          <w:szCs w:val="18"/>
        </w:rPr>
        <w:t>产品托管人：具有证券投资基金托管业务资格的商业银行</w:t>
      </w:r>
    </w:p>
    <w:p w14:paraId="31FF0FA4">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14:paraId="225D85FA">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14:paraId="622570DE">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14:paraId="790BF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3053ABE7">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14:paraId="11006A65">
            <w:pPr>
              <w:widowControl/>
              <w:adjustRightInd w:val="0"/>
              <w:snapToGrid w:val="0"/>
              <w:spacing w:line="300" w:lineRule="auto"/>
              <w:outlineLvl w:val="0"/>
              <w:rPr>
                <w:b/>
                <w:sz w:val="18"/>
                <w:szCs w:val="18"/>
              </w:rPr>
            </w:pPr>
            <w:r>
              <w:rPr>
                <w:rFonts w:hint="eastAsia"/>
                <w:b/>
                <w:sz w:val="18"/>
                <w:szCs w:val="18"/>
              </w:rPr>
              <w:t>激进型产品</w:t>
            </w:r>
          </w:p>
        </w:tc>
      </w:tr>
      <w:tr w14:paraId="351A7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14:paraId="7C181EB6">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14:paraId="6F55AC6E">
            <w:pPr>
              <w:widowControl/>
              <w:adjustRightInd w:val="0"/>
              <w:snapToGrid w:val="0"/>
              <w:spacing w:line="300" w:lineRule="auto"/>
              <w:outlineLvl w:val="0"/>
              <w:rPr>
                <w:b/>
                <w:sz w:val="18"/>
                <w:szCs w:val="18"/>
              </w:rPr>
            </w:pPr>
            <w:r>
              <w:rPr>
                <w:rFonts w:hint="eastAsia"/>
                <w:b/>
                <w:sz w:val="18"/>
                <w:szCs w:val="18"/>
              </w:rPr>
              <w:t>进取型产品</w:t>
            </w:r>
          </w:p>
        </w:tc>
      </w:tr>
      <w:tr w14:paraId="6721B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1FF6BE9C">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14:paraId="788720AF">
            <w:pPr>
              <w:widowControl/>
              <w:adjustRightInd w:val="0"/>
              <w:snapToGrid w:val="0"/>
              <w:spacing w:line="300" w:lineRule="auto"/>
              <w:outlineLvl w:val="0"/>
              <w:rPr>
                <w:b/>
                <w:sz w:val="18"/>
                <w:szCs w:val="18"/>
              </w:rPr>
            </w:pPr>
            <w:r>
              <w:rPr>
                <w:rFonts w:hint="eastAsia"/>
                <w:b/>
                <w:sz w:val="18"/>
                <w:szCs w:val="18"/>
              </w:rPr>
              <w:t>平衡型产品</w:t>
            </w:r>
          </w:p>
        </w:tc>
      </w:tr>
      <w:tr w14:paraId="5B7EA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651DDA13">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14:paraId="34491309">
            <w:pPr>
              <w:widowControl/>
              <w:adjustRightInd w:val="0"/>
              <w:snapToGrid w:val="0"/>
              <w:spacing w:line="300" w:lineRule="auto"/>
              <w:outlineLvl w:val="0"/>
              <w:rPr>
                <w:b/>
                <w:sz w:val="18"/>
                <w:szCs w:val="18"/>
              </w:rPr>
            </w:pPr>
            <w:r>
              <w:rPr>
                <w:rFonts w:hint="eastAsia"/>
                <w:b/>
                <w:sz w:val="18"/>
                <w:szCs w:val="18"/>
              </w:rPr>
              <w:t>稳健型产品</w:t>
            </w:r>
          </w:p>
        </w:tc>
      </w:tr>
      <w:tr w14:paraId="03DAD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14:paraId="6D3EB49D">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14:paraId="75956C3F">
            <w:pPr>
              <w:widowControl/>
              <w:adjustRightInd w:val="0"/>
              <w:snapToGrid w:val="0"/>
              <w:spacing w:line="300" w:lineRule="auto"/>
              <w:outlineLvl w:val="0"/>
              <w:rPr>
                <w:b/>
                <w:sz w:val="18"/>
                <w:szCs w:val="18"/>
              </w:rPr>
            </w:pPr>
            <w:r>
              <w:rPr>
                <w:rFonts w:hint="eastAsia"/>
                <w:b/>
                <w:sz w:val="18"/>
                <w:szCs w:val="18"/>
              </w:rPr>
              <w:t>谨慎型产品</w:t>
            </w:r>
          </w:p>
        </w:tc>
      </w:tr>
    </w:tbl>
    <w:p w14:paraId="6A57C515">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14:paraId="57E6C6F4">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14:paraId="57E6C6F4">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110"/>
                <wp:effectExtent l="0" t="0" r="7620" b="8890"/>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235"/>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0"/>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29995"/>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0FEFE67B">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2815"/>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14:paraId="099F63E8">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5635"/>
                            <a:ext cx="517525" cy="297180"/>
                          </a:xfrm>
                          <a:prstGeom prst="rect">
                            <a:avLst/>
                          </a:prstGeom>
                          <a:noFill/>
                          <a:ln w="9525" cap="flat" cmpd="sng">
                            <a:solidFill>
                              <a:srgbClr val="000000"/>
                            </a:solidFill>
                            <a:prstDash val="solid"/>
                            <a:miter/>
                            <a:headEnd type="none" w="med" len="med"/>
                            <a:tailEnd type="none" w="med" len="med"/>
                          </a:ln>
                          <a:effectLst/>
                        </wps:spPr>
                        <wps:txbx>
                          <w:txbxContent>
                            <w:p w14:paraId="32CD63B0">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8455"/>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149EB8C0">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275"/>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63DD92E9">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000"/>
                            <a:ext cx="1624330" cy="245110"/>
                          </a:xfrm>
                          <a:prstGeom prst="rect">
                            <a:avLst/>
                          </a:prstGeom>
                          <a:solidFill>
                            <a:srgbClr val="FFFFFF"/>
                          </a:solidFill>
                          <a:ln>
                            <a:noFill/>
                          </a:ln>
                          <a:effectLst/>
                        </wps:spPr>
                        <wps:txbx>
                          <w:txbxContent>
                            <w:p w14:paraId="7AE4305D">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pt;width:309.4pt;" coordsize="3929380,1896110" editas="canvas"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CFbnapCAQAAPsUAAAOAAAAZHJzL2Uyb0RvYy54bWztWE9v&#10;2zYUvw/YdyB0XyySkmwJcXpomlyGrUDX3RmJ+gNIJEcysXPeV9hthwG77b7DsKHYpyn6NfZI0Urt&#10;Nq3TNVkw2AZsSaQe+X7vxx8f3/GT9dCjK65NJ8UywkdxhLgoZdWJZhm9/O7sq0WEjGWiYr0UfBld&#10;cxM9Ofnyi+OVKjiRrewrrhEYEaZYqWXUWquK2cyULR+YOZKKC2ispR6YhVvdzCrNVmB96GckjrPZ&#10;SupKaVlyY+Dp6dgYBYt6H4OyrruSn8rycuDCjlY175kFl0zbKROd+NnWNS/tt3VtuEX9MgJPrf+F&#10;QeD6wv3OTo5Z0Wim2q4MU2D7TGHHp4F1AgadTJ0yy9Cl7t4xNXSllkbW9qiUw2x0xCMCXuB4B5tz&#10;LS+V96UpVo2aQIdA7aD+yWbLb66ea9RVyyiPkGADBPzNT3+9/uNHhBMHzko1BfQ51+qFeq7Dg2a8&#10;c/6uaz24f/AErT2s1xOsfG1RCQ9pTnK6AMRLaMOLPMM4AF+2EJ133ivbZx95c7YZeObmN01npYCS&#10;5gYn8+9wetEyxT38xmEQcMITTj///ubPvxHORpx8n6cigGQKA3i9ByGcYZIDFg6KjGSEpiMHJ7CS&#10;jPoODqxsbJ3cZYXSxp5zOSB3sYz6TrgZsoJdfW0shAe6brq4x71AKwhtSlJAn8FqrWGVwOWgIOJG&#10;NP5dI/uuOuv63r1hdHPxtNfoirkV4z9ugmB3q5sb5JSZduznm0Y/Ws6qZ6JC9loBlwRISOSmMPAq&#10;Qj0HxXFXYJAVlnX9TU+rOyaa/pbeMHwv3Evcr+ngq4v3CLO7upDVtUcfSOF54Nj7AIQgu4SYO//c&#10;0ECaWwiB6r5T3wMFfADC4qGLfBGoEdbHhhSOB2H1ZHQOwRwjsll8m4gfSAFEdcD/96SgEyl++e31&#10;q18RXrxFiklKNzPdyNmko2lM0xRi7lSCkDzPd1QijfM8Dpwg+RyDun6QEho2wg/pxNba3pKAM/8J&#10;1re6Pby2DJ3l2mvHp6rM7Xq0j8LY9cU6LO1RbNAKMgcQ0h8umQblulS6a1qQZezxelgZSnYZl7tJ&#10;BBn6OONwjHM8HymXU7LAu4zDNN7s4ffPuHjD5wPjHi/jgCwhYxw1jvig7c+4lFKfmIyJTsh1YIsP&#10;yV8KdPR5C7R/DsYJ6XIcLx8H6dKPSbqyXSJ5/dybSCRO5osgXZQuEtg4fZQnIhGSHTbLu6fk/+PN&#10;cr7LOHKnzZKk8zhxuyFIU4IJcG+bcDSB/G3M2D+Hcm1tgofsrLTvPf896uwMimrbeyW9G+FonMI3&#10;lA1SDOfybcpBLSGhNNRYSJKGEgtktbccEu/nROCO6NM+e58ptS/8QE3MVyZC/c4V3d6+94fBm5rl&#10;yT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4&#10;BgAAW0NvbnRlbnRfVHlwZXNdLnhtbFBLAQIUAAoAAAAAAIdO4kAAAAAAAAAAAAAAAAAGAAAAAAAA&#10;AAAAEAAAAFoFAABfcmVscy9QSwECFAAUAAAACACHTuJAihRmPNEAAACUAQAACwAAAAAAAAABACAA&#10;AAB+BQAAX3JlbHMvLnJlbHNQSwECFAAKAAAAAACHTuJAAAAAAAAAAAAAAAAABAAAAAAAAAAAABAA&#10;AAAAAAAAZHJzL1BLAQIUABQAAAAIAIdO4kDw+O801wAAAAUBAAAPAAAAAAAAAAEAIAAAACIAAABk&#10;cnMvZG93bnJldi54bWxQSwECFAAUAAAACACHTuJAhW52qQgEAAD7FAAADgAAAAAAAAABACAAAAAm&#10;AQAAZHJzL2Uyb0RvYy54bWxQSwUGAAAAAAYABgBZAQAAoAcAAAAA&#10;">
                <o:lock v:ext="edit" aspectratio="f"/>
                <v:shape id="画布 14" o:spid="_x0000_s1026" style="position:absolute;left:0;top:0;height:1896110;width:3929380;" filled="f" stroked="f" coordsize="21600,21600"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D91tCYzwMAAHcUAAAOAAAAZHJzL2Uyb0RvYy54bWztmM1u&#10;4zYQgO8F+g6E7o0kUrIlIc4ekrqXog2w3d5pibIESKRKMrbzLD0U6K33nhYo+jTFvsYOf+Ss1Xrr&#10;tJs0KGwDNiWOhuTMp5khL1/t+g5tmFSt4IsgvogCxHgpqpavF8Gb75ZfZAFSmvKKdoKzRXDPVPDq&#10;6vPPLrdDwbBoRFcxiUAJV8V2WASN1kMRhqpsWE/VhRgYh85ayJ5quJTrsJJ0C9r7LsRRNAu3QlaD&#10;FCVTCu7euM7Aa5SnKBR13ZbsRpR3PePaaZWsoxqWpJp2UMGVnW1ds1J/W9eKadQtAliptr8wCLRX&#10;5je8uqTFWtKhaUs/BXrKFCZr6mnLYdC9qhuqKbqT7Z9U9W0phRK1vihFH7qFWIvAKuJoYptryjfU&#10;LaYEW48ThNYn1Ltam3lzsWy7DqwRgvbC3DP/W/A2M90dPxRyd6ysl9kOgIMa9mCofzfF1w0dmHWj&#10;KspvNrcStRXQGiBOe4Dy3Y+/vnv7O4pnxoFmaJC55rfSX6nhVpoJ72rZm3+wM9rB47MY5+D5e9PE&#10;M0xS53+206iEfpLMiBUoQWLmesMHLYNU+ismemQai6BruZkhLejma6WN6WgxipjbHUfbRZCnOA1Q&#10;SeFNqYFQaPYDrETxtX1Wia6tjOnNE0quV9edRBtqaLUfM0HQeyBmBrmhqnFytsuto2G0+pJXSN8P&#10;YCMOr29gptCzKkAdg7fdtEAhLTRtuwdJLVvK190RaRjeuZ/Z98mv1Rjdmdm0VqK6t9YHJCwHzitP&#10;DgSeAjE36/s4EKju2uF7A5OxhEeDZHnm0fBBYYTCcIAMEHE2I3NwpvPIiNbo8TMUNna8BCjIHoqf&#10;fvnjt59RnH0AxWsIDR6RI1EijUiags+NyzHO83wSJdIozyPPBM7ncWaBOR4nJCShj8WJg3f7IAQs&#10;7ccDdyD2/LGlbzUzhqPFP40yx+PRKRFG71Y77zcXbNAWsjYE0h/uqITIdTfIdt1AWI6tvZ43DCVT&#10;4nIzCR+G/p64OIrzeO6QywnO4ilxMYmAMhuFnp64aOT5TNzLJQ5g8ZWQi3HYOu104lJCbGHiCh1f&#10;69BiTHop4GjrFuj/FMTty8v/oiw6hy670/rrkno2BcnGz5NBwlEyz3zoIiRLIHHaJLEHCePZOVk+&#10;viT/HyfL+ZQ4/KhkidN5lJhsCKEpiTGwdwgcSaB+e65cuVya0acbtHN1Jl9SdQYHWoe5kjwOOBKl&#10;8PXHBmkM+/JD5OAsISFkrM+SNI7HCurIJvFpdgSmNt/n2acsqd2xz1Ba8P3ZmTnw+vDabgYfzguv&#10;3g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gAAW0NvbnRlbnRfVHlwZXNdLnhtbFBLAQIUAAoAAAAAAIdO4kAAAAAAAAAAAAAAAAAGAAAAAAAA&#10;AAAAEAAAACEFAABfcmVscy9QSwECFAAUAAAACACHTuJAihRmPNEAAACUAQAACwAAAAAAAAABACAA&#10;AABFBQAAX3JlbHMvLnJlbHNQSwECFAAKAAAAAACHTuJAAAAAAAAAAAAAAAAABAAAAAAAAAAAABAA&#10;AAAAAAAAZHJzL1BLAQIUABQAAAAIAIdO4kDw+O801wAAAAUBAAAPAAAAAAAAAAEAIAAAACIAAABk&#10;cnMvZG93bnJldi54bWxQSwECFAAUAAAACACHTuJA/dbQmM8DAAB3FAAADgAAAAAAAAABACAAAAAm&#10;AQAAZHJzL2Uyb0RvYy54bWxQSwUGAAAAAAYABgBZAQAAZwcAAAAA&#10;">
                  <v:fill on="f" focussize="0,0"/>
                  <v:stroke on="f"/>
                  <v:imagedata o:title=""/>
                  <o:lock v:ext="edit" aspectratio="t"/>
                </v:shape>
                <v:line id="直线 16" o:spid="_x0000_s1026" o:spt="20" style="position:absolute;left:161290;top:1626235;height:635;width:3463290;" filled="f" stroked="t" coordsize="21600,21600" o:gfxdata="UEsDBAoAAAAAAIdO4kAAAAAAAAAAAAAAAAAEAAAAZHJzL1BLAwQUAAAACACHTuJAfYhyK9YAAAAF&#10;AQAADwAAAGRycy9kb3ducmV2LnhtbE2PwU7DMBBE70j8g7VI3KiTHiIT4vSAVC4toLYIwc2NlyQi&#10;Xke204a/Z+ECl5FWs5p5U61mN4gThth70pAvMhBIjbc9tRpeDusbBSImQ9YMnlDDF0ZY1ZcXlSmt&#10;P9MOT/vUCg6hWBoNXUpjKWVsOnQmLvyIxN6HD84kPkMrbTBnDneDXGZZIZ3piRs6M+J9h83nfnIa&#10;dtv1Rr1uprkJ7w/50+F5+/gWldbXV3l2ByLhnP6e4Qef0aFmpqOfyEYxaOAh6VfZK3LFM44alreq&#10;AFlX8j99/Q1QSwMEFAAAAAgAh07iQB6kQLP4AQAA7wMAAA4AAABkcnMvZTJvRG9jLnhtbK1TS27b&#10;MBDdF+gdCO5r2XItNILlLOKmm6I10PQAY5KSCPAHDmPZZ+k1uuqmx8k1OpTcJE0RIItoQQ01j2/m&#10;PQ3Xl0dr2EFF1N41fDGbc6ac8FK7ruHfb67ffeAMEzgJxjvV8JNCfrl5+2Y9hFqVvvdGqsiIxGE9&#10;hIb3KYW6KFD0ygLOfFCOkq2PFhJtY1fICAOxW1OU83lVDD7KEL1QiPR1OyX5mTG+hNC3rRZq68Wt&#10;VS5NrFEZSCQJex2Qb8Zu21aJ9LVtUSVmGk5K07hSEYr3eS02a6i7CKHX4twCvKSFJ5osaEdF76m2&#10;kIDdRv0fldUievRtmglvi0nI6AipWMyfePOth6BGLWQ1hnvT8fVoxZfDLjItaRI4c2Dph9/9+Hn3&#10;6zdbVNmcIWBNmCu3i+cdhl3MSo9ttPlNGtiRjleL8oJcPeWwrMrlavJWHRMTlF++r5YjQBCimrLF&#10;A0uImD4pb1kOGm60y8KhhsNnTFSZoH8h+bNxbGj4xapccSaAprClv0+hDaQEXTeeRW+0vNbG5BMY&#10;u/2ViewAeRLGJzdIvP/AcpEtYD/hxtSko1cgPzrJ0imQR46uBs8tWCU5M4puUo6IEOoE2jwgU9Tg&#10;OvMMmsoblw+pcVbPWrPpk8052nt5Gt0v8o7mYOz6PLN50B7vKX58Tzd/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H2IcivWAAAABQEAAA8AAAAAAAAAAQAgAAAAIgAAAGRycy9kb3ducmV2LnhtbFBL&#10;AQIUABQAAAAIAIdO4kAepECz+AEAAO8DAAAOAAAAAAAAAAEAIAAAACUBAABkcnMvZTJvRG9jLnht&#10;bFBLBQYAAAAABgAGAFkBAACPBQAAAAA=&#10;">
                  <v:fill on="f" focussize="0,0"/>
                  <v:stroke color="#000000" joinstyle="round" endarrow="block"/>
                  <v:imagedata o:title=""/>
                  <o:lock v:ext="edit" aspectratio="f"/>
                </v:line>
                <v:line id="直线 17" o:spid="_x0000_s1026" o:spt="20" style="position:absolute;left:389890;top:0;flip:y;height:1863725;width:635;" filled="f" stroked="t" coordsize="21600,21600" o:gfxdata="UEsDBAoAAAAAAIdO4kAAAAAAAAAAAAAAAAAEAAAAZHJzL1BLAwQUAAAACACHTuJAteDneNYAAAAF&#10;AQAADwAAAGRycy9kb3ducmV2LnhtbE2PQUvDQBCF74L/YRnBm92kaEjTbHoQBU+irQi9bbNjEpud&#10;jdlpU/31jl708mB4w3vfK1cn36sjjrELZCCdJaCQ6uA6agy8bO6vclCRLTnbB0IDnxhhVZ2flbZw&#10;YaJnPK65URJCsbAGWuah0DrWLXobZ2FAEu8tjN6ynGOj3WgnCfe9nidJpr3tSBpaO+Bti/V+ffAG&#10;FpvpJjyN+9frtPvYft298/DwyMZcXqTJEhTjif+e4Qdf0KESpl04kIuqNyBD+FfFy9JcZuwMzBd5&#10;Broq9X/66htQSwMEFAAAAAgAh07iQN5qtRf7AQAA8wMAAA4AAABkcnMvZTJvRG9jLnhtbK1TS44T&#10;MRDdI3EHy3vS+SiZpJXOLCYMGwQjMbCv+NNtyT/ZnnRyFq7Big3HmWtQdjdhGIQ0C3phlV3Pr+q9&#10;Lm+vT0aTowhROdvQ2WRKibDMcWXbhn6+v32zpiQmsBy0s6KhZxHp9e71q23vazF3ndNcBIIkNta9&#10;b2iXkq+rKrJOGIgT54XFpHTBQMJtaCseoEd2o6v5dLqqehe4D46JGPF0PyTpyBheQuikVEzsHXsw&#10;wqaBNQgNCSXFTvlId6VbKQVLH6WMIhHdUFSayopFMD7ktdptoW4D+E6xsQV4SQvPNBlQFoteqPaQ&#10;gDwE9ReVUSy46GSaMGeqQUhxBFXMps+8+dSBF0ULWh39xfT4/2jZh+NdIIo3dE6JBYM//PHrt8fv&#10;P8jsKpvT+1gj5sbehXEX/V3ISk8yGCK18l9wiop2VENODV2sN+sN+nu++CtOiTDMrBZLShiez9ar&#10;xdV8mQtUA1Nm9CGmd8IZkoOGamWzeKjh+D6mAfoLko+1JX1DN0vkIQxwEiVOAIbGo5po23I3Oq34&#10;rdI634ihPdzoQI6Qp6F8Ywt/wHKRPcRuwJVUhkHdCeBvLSfp7NEni8+D5haM4JRoga8pRwWZQOnf&#10;yBQU2Fb/A40OaJvpRZnXUWs2frA6RwfHz+UPVHmHs1CMG+c2D9vTPcZP3+ruJ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LXg53jWAAAABQEAAA8AAAAAAAAAAQAgAAAAIgAAAGRycy9kb3ducmV2Lnht&#10;bFBLAQIUABQAAAAIAIdO4kDearUX+wEAAPMDAAAOAAAAAAAAAAEAIAAAACUBAABkcnMvZTJvRG9j&#10;LnhtbFBLBQYAAAAABgAGAFkBAACSBQAAAAA=&#10;">
                  <v:fill on="f" focussize="0,0"/>
                  <v:stroke color="#000000" joinstyle="round" endarrow="block"/>
                  <v:imagedata o:title=""/>
                  <o:lock v:ext="edit" aspectratio="f"/>
                </v:line>
                <v:rect id="矩形 18" o:spid="_x0000_s1026" o:spt="1" style="position:absolute;left:503555;top:1229995;height:297180;width:5099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CVKqitGwIAAFAEAAAOAAAAZHJzL2Uyb0RvYy54bWytVM2O0zAQ&#10;viPxDpbvNGlWgSZqugdKuSBYaeEBXGeSWPIfttukT4PEjYfgcRCvwdgpS3fh0AM5JON48s33fTPO&#10;+nZSkhzBeWF0Q5eLnBLQ3LRC9w399HH3YkWJD0y3TBoNDT2Bp7eb58/Wo62hMIORLTiCINrXo23o&#10;EIKts8zzARTzC2NB42ZnnGIBl67PWsdGRFcyK/L8ZTYa11pnOHiPb7fzJj0jumsATdcJDlvDDwp0&#10;mFEdSBZQkh+E9XST2HYd8PCh6zwEIhuKSkO6YxGM9/Gebdas7h2zg+BnCuwaCk80KSY0Fn2A2rLA&#10;yMGJv6CU4M5404UFNyqbhSRHUMUyf+LN/cAsJC1otbcPpvv/B8vfH+8cEW1DbyjRTGHDf3759uP7&#10;V7JcRXNG62vMubd37rzyGEalU+dUfKIGMjW0zG/KsqTkhDNVFFVVlbO3MAXC035V5bjPMaGoXi1X&#10;yfvsD451PrwFo0gMGuqwdclRdnznA9bG1N8psaw3UrQ7IWVauH7/WjpyZNjmXbpidfzkUZrUZGxo&#10;VRaRB8PZ7XBmMFQW9Xvdp3qPvvCXwHm6/gUciW2ZH2YCCWFWr0QAh0xYPQBr3+iWhJNFjzUeLRrJ&#10;KGgpkYAnMUYpMzAhr8lEdVJHaEhzfnYpNmxuUYzCtJ8QNIZ7056w1SPOOor9fGAOGRysE/2Adi+T&#10;rJiHg5acOx+KOMmXa4wvfwSb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CVKqitGwIAAFAE&#10;AAAOAAAAAAAAAAEAIAAAACMBAABkcnMvZTJvRG9jLnhtbFBLBQYAAAAABgAGAFkBAACwBQAAAAA=&#10;">
                  <v:fill on="t" focussize="0,0"/>
                  <v:stroke color="#000000" joinstyle="miter"/>
                  <v:imagedata o:title=""/>
                  <o:lock v:ext="edit" aspectratio="f"/>
                  <v:textbox>
                    <w:txbxContent>
                      <w:p w14:paraId="0FEFE67B">
                        <w:pPr>
                          <w:ind w:firstLine="89" w:firstLineChars="49"/>
                          <w:rPr>
                            <w:b/>
                            <w:sz w:val="18"/>
                            <w:szCs w:val="18"/>
                          </w:rPr>
                        </w:pPr>
                        <w:r>
                          <w:rPr>
                            <w:rFonts w:hint="eastAsia"/>
                            <w:b/>
                            <w:sz w:val="18"/>
                            <w:szCs w:val="18"/>
                          </w:rPr>
                          <w:t>PR1</w:t>
                        </w:r>
                      </w:p>
                    </w:txbxContent>
                  </v:textbox>
                </v:rect>
                <v:rect id="矩形 19" o:spid="_x0000_s1026" o:spt="1" style="position:absolute;left:1019175;top:932815;height:297180;width:513080;" fillcolor="#FFFF00" filled="t" stroked="t" coordsize="21600,21600" o:gfxdata="UEsDBAoAAAAAAIdO4kAAAAAAAAAAAAAAAAAEAAAAZHJzL1BLAwQUAAAACACHTuJABnbO7dYAAAAF&#10;AQAADwAAAGRycy9kb3ducmV2LnhtbE2PzWrDMBCE74W8g9hCb41sQ43iWs4haQu9hNYNOSvWxjax&#10;VsZS/t6+217ay8Ayy8w35fLqBnHGKfSeNKTzBARS421PrYbt1+ujAhGiIWsGT6jhhgGW1eyuNIX1&#10;F/rEcx1bwSEUCqOhi3EspAxNh86EuR+R2Dv4yZnI59RKO5kLh7tBZkmSS2d64obOjLjqsDnWJ6fh&#10;bTu+H+vVLVObj6eXWq13i8Nmp/XDfZo8g4h4jX/P8IPP6FAx096fyAYxaOAh8VfZy1PFM/YasoXK&#10;QVal/E9ffQNQSwMEFAAAAAgAh07iQHKgpvwdAgAAUAQAAA4AAABkcnMvZTJvRG9jLnhtbK1UzY7T&#10;MBC+I/EOlu80SZeybdR0D5RyQbDSwgNMHSex5D9st0mfBokbD8HjIF6DsZNd2uXSAzkk48zk8/d9&#10;M876blCSHLnzwuiKFrOcEq6ZqYVuK/rl8+7VkhIfQNcgjeYVPXFP7zYvX6x7W/K56YysuSMIon3Z&#10;24p2IdgyyzzruAI/M5ZrTDbGKQi4dG1WO+gRXclsnudvst642jrDuPf4djsm6YTorgE0TSMY3xp2&#10;UFyHEdVxCQEl+U5YTzeJbdNwFj41jeeByIqi0pDuuAnG+3jPNmsoWwe2E2yiANdQeKZJgdC46RPU&#10;FgKQgxP/QCnBnPGmCTNmVDYKSY6giiJ/5s1DB5YnLWi1t0+m+/8Hyz4e7x0RdUVfU6JBYcN/f/vx&#10;6+d3UqyiOb31JdY82Hs3rTyGUenQOBWfqIEMOEh5sSpuF5ScKrq6mS+LxegtHwJhmF8UN/kSXWeY&#10;n69uC4wRMPuLY50P77lRJAYVddi65CgcP/gwlj6WxG29kaLeCSnTwrX7t9KRI2Cbd3jlj+gXZVKT&#10;Htkt5kiTAc5ugzODobKo3+s27XfxhT8HztM10b4oi8S24LuRQEqN6pUI3CF5KDsO9Ttdk3Cy6LHG&#10;o0UjGcVrSiTHkxijVBlAyGsq0TupIzRPcz65FBs2tihGYdgPCBrDvalP2OoeZx3Ffj2AQwYH60Tb&#10;od1FkhXrcNBSX6ZDESf5fI3x+Y9g8w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Gds7t1gAAAAUB&#10;AAAPAAAAAAAAAAEAIAAAACIAAABkcnMvZG93bnJldi54bWxQSwECFAAUAAAACACHTuJAcqCm/B0C&#10;AABQBAAADgAAAAAAAAABACAAAAAlAQAAZHJzL2Uyb0RvYy54bWxQSwUGAAAAAAYABgBZAQAAtAUA&#10;AAAA&#10;">
                  <v:fill on="t" focussize="0,0"/>
                  <v:stroke color="#000000" joinstyle="miter"/>
                  <v:imagedata o:title=""/>
                  <o:lock v:ext="edit" aspectratio="f"/>
                  <v:textbox>
                    <w:txbxContent>
                      <w:p w14:paraId="099F63E8">
                        <w:pPr>
                          <w:ind w:firstLine="89" w:firstLineChars="49"/>
                          <w:rPr>
                            <w:b/>
                            <w:sz w:val="18"/>
                            <w:szCs w:val="18"/>
                          </w:rPr>
                        </w:pPr>
                        <w:r>
                          <w:rPr>
                            <w:rFonts w:hint="eastAsia"/>
                            <w:b/>
                            <w:sz w:val="18"/>
                            <w:szCs w:val="18"/>
                          </w:rPr>
                          <w:t>PR2</w:t>
                        </w:r>
                      </w:p>
                    </w:txbxContent>
                  </v:textbox>
                </v:rect>
                <v:rect id="矩形 20" o:spid="_x0000_s1026" o:spt="1" style="position:absolute;left:1533525;top:635635;height:297180;width:517525;" filled="f" stroked="t" coordsize="21600,21600" o:gfxdata="UEsDBAoAAAAAAIdO4kAAAAAAAAAAAAAAAAAEAAAAZHJzL1BLAwQUAAAACACHTuJAbIp8R9QAAAAF&#10;AQAADwAAAGRycy9kb3ducmV2LnhtbE2PQUvDQBCF70L/wzJCb3aTQkOM2ZRW7LVgFdTbNjvuhmZn&#10;Q3bb1H/v6EUvD4Y3vPe9en31vbjgGLtACvJFBgKpDaYjq+D1ZXdXgohJk9F9IFTwhRHWzeym1pUJ&#10;Ez3j5ZCs4BCKlVbgUhoqKWPr0Ou4CAMSe59h9DrxOVppRj1xuO/lMssK6XVH3OD0gI8O29Ph7BU8&#10;DR/7zcpGuXlL7v0UttPO7a1S89s8ewCR8Jr+nuEHn9GhYaZjOJOJolfAQ9KvslfkJc84KljelwXI&#10;ppb/6ZtvUEsDBBQAAAAIAIdO4kCkn9EcEgIAACcEAAAOAAAAZHJzL2Uyb0RvYy54bWytU0tu2zAQ&#10;3RfoHQjua1k2nI9gOYu66aZoAyQ9wJgaSQT4K0lb8mkKdNdD9DhFr9Eh5SZpuvGigiANNaM38x4f&#10;1zejVuyAPkhral7O5pyhEbaRpqv554fbN1echQimAWUN1vyIgd9sXr9aD67Che2tatAzAjGhGlzN&#10;+xhdVRRB9KghzKxDQ8nWeg2Rlr4rGg8DoWtVLObzi2KwvnHeCgyBvm6nJD8h+nMAbdtKgVsr9hpN&#10;nFA9KohEKfTSBb7J07YtivipbQNGpmpOTGN+UhOKd+lZbNZQdR5cL8VpBDhnhBecNEhDTR+hthCB&#10;7b38B0pL4W2wbZwJq4uJSFaEWJTzF9rc9+AwcyGpg3sUPfw/WPHxcOeZbGq+4syApg3/9fX7zx/f&#10;2CKLM7hQUc29u/MkVVoFChPTsfU6vYkDG8lIq+VytSCQY80vliu6J21xjExQflVe5rSg/OL6srzK&#10;8MUTjvMhvkerWQpq7mnrsqJw+BAi9abSPyWprbG3Uqm8fcqwoebXEzyQJVuyAmdCO6IVTJdhglWy&#10;Sb+kn4Pvdm+VZwdItshXmpZa/FWW+m0h9FNdTk2ktIyY9ICqR2jemYbFoyPpDJ0YnobR2HCmkA5Y&#10;inJlBKnOqaQhlEnQmO17Iv+kfIriuBsJNIU72xxpBweyMJH9sgdPE+ydl11PKpaZVqoj/2SCJ68n&#10;gz5fU/z8fG9+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GyKfEfUAAAABQEAAA8AAAAAAAAAAQAg&#10;AAAAIgAAAGRycy9kb3ducmV2LnhtbFBLAQIUABQAAAAIAIdO4kCkn9EcEgIAACcEAAAOAAAAAAAA&#10;AAEAIAAAACMBAABkcnMvZTJvRG9jLnhtbFBLBQYAAAAABgAGAFkBAACnBQAAAAA=&#10;">
                  <v:fill on="f" focussize="0,0"/>
                  <v:stroke color="#000000" joinstyle="miter"/>
                  <v:imagedata o:title=""/>
                  <o:lock v:ext="edit" aspectratio="f"/>
                  <v:textbox>
                    <w:txbxContent>
                      <w:p w14:paraId="32CD63B0">
                        <w:pPr>
                          <w:ind w:firstLine="89" w:firstLineChars="49"/>
                          <w:rPr>
                            <w:b/>
                            <w:sz w:val="18"/>
                            <w:szCs w:val="18"/>
                          </w:rPr>
                        </w:pPr>
                        <w:r>
                          <w:rPr>
                            <w:rFonts w:hint="eastAsia"/>
                            <w:b/>
                            <w:sz w:val="18"/>
                            <w:szCs w:val="18"/>
                          </w:rPr>
                          <w:t>PR3</w:t>
                        </w:r>
                      </w:p>
                    </w:txbxContent>
                  </v:textbox>
                </v:rect>
                <v:rect id="矩形 21" o:spid="_x0000_s1026" o:spt="1" style="position:absolute;left:2047875;top:338455;height:297180;width:5226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BPA7tTHwIAAFAEAAAOAAAAZHJzL2Uyb0RvYy54bWytVEtu2zAQ&#10;3RfoHQjua8lK/IlgOYu67qZoA6Q9AE2NJAL8laQt+TQFuushepyi1+iQchMn6cKLakENNcM3894M&#10;tbodlCQHcF4YXdHpJKcENDe10G1Fv3zevllS4gPTNZNGQ0WP4Ont+vWrVW9LKExnZA2OIIj2ZW8r&#10;2oVgyyzzvAPF/MRY0OhsjFMs4Na1We1Yj+hKZkWez7PeuNo6w8F7/LoZnfSE6C4BNE0jOGwM3yvQ&#10;YUR1IFlASr4T1tN1qrZpgIdPTeMhEFlRZBrSiknQ3sU1W69Y2TpmO8FPJbBLSnjGSTGhMekD1IYF&#10;RvZOvIBSgjvjTRMm3KhsJJIUQRbT/Jk29x2zkLig1N4+iO7/Hyz/eLhzRNQVnVOimcKG//7249fP&#10;76SYRnF660uMubd37rTzaEamQ+NUfCMHMlS0yK8Xy8WMkmNFr66W17PZqC0MgXD0z4pinqObo7+4&#10;WUyXSfvsEcc6H96DUSQaFXXYuqQoO3zwAXNj6N+QmNYbKeqtkDJtXLt7Kx05MGzzNj0xOx55EiY1&#10;6St6MytiHQxnt8GZQVNZ5O91m/I9OeHPgfP0/As4FrZhvhsLSAgjeyUCOKyElR2w+p2uSTha1Fjj&#10;1aKxGAU1JRLwJkYrRQYm5CWRyE7qCA1pzk8qxYaNLYpWGHYDgkZzZ+ojtrrHWUeyX/fMYQV760Tb&#10;odyp2VmMw0FLyp0uRZzk8z3a5z+C9R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1mPXh1AAAAAUB&#10;AAAPAAAAAAAAAAEAIAAAACIAAABkcnMvZG93bnJldi54bWxQSwECFAAUAAAACACHTuJATwO7Ux8C&#10;AABQBAAADgAAAAAAAAABACAAAAAjAQAAZHJzL2Uyb0RvYy54bWxQSwUGAAAAAAYABgBZAQAAtAUA&#10;AAAA&#10;">
                  <v:fill on="t" focussize="0,0"/>
                  <v:stroke color="#000000" joinstyle="miter"/>
                  <v:imagedata o:title=""/>
                  <o:lock v:ext="edit" aspectratio="f"/>
                  <v:textbox>
                    <w:txbxContent>
                      <w:p w14:paraId="149EB8C0">
                        <w:pPr>
                          <w:ind w:firstLine="89" w:firstLineChars="49"/>
                          <w:rPr>
                            <w:b/>
                            <w:sz w:val="18"/>
                            <w:szCs w:val="18"/>
                          </w:rPr>
                        </w:pPr>
                        <w:r>
                          <w:rPr>
                            <w:rFonts w:hint="eastAsia"/>
                            <w:b/>
                            <w:sz w:val="18"/>
                            <w:szCs w:val="18"/>
                          </w:rPr>
                          <w:t>PR4</w:t>
                        </w:r>
                      </w:p>
                    </w:txbxContent>
                  </v:textbox>
                </v:rect>
                <v:rect id="矩形 22" o:spid="_x0000_s1026" o:spt="1" style="position:absolute;left:2570480;top:41275;height:297180;width:53403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DXMRCUGwIAAE8EAAAOAAAAZHJzL2Uyb0RvYy54bWytVE2O0zAU&#10;3iNxB8t7mjTT0pmo6SwoZYNgpIEDuI6TWPIfz26TngaJHYfgOIhrzLMThs7Aogu8cJ7jl8/f973n&#10;rG8HrchRgJfWVHQ+yykRhttamrainz/tXl1T4gMzNVPWiIqehKe3m5cv1r0rRWE7q2oBBEGML3tX&#10;0S4EV2aZ553QzM+sEwY3GwuaBVxCm9XAekTXKivy/HXWW6gdWC68x7fbcZNOiHAJoG0aycXW8oMW&#10;JoyoIBQLKMl30nm6SWybRvDwsWm8CERVFJWGNOMhGO/jnG3WrGyBuU7yiQK7hMIzTZpJg4c+Qm1Z&#10;YOQA8i8oLTlYb5sw41Zno5DkCKqY58+8ue+YE0kLWu3do+n+/8HyD8c7ILKu6IoSwzQW/NfX7z9/&#10;fCNFEc3pnS8x597dwbTyGEalQwM6PlEDGSpaLFf54hptPVV0MS9Wy9FaMQTCcXt5tcivlpRw3C5u&#10;VnPMRLzsD4wDH94Jq0kMKgpYuWQoO773YUz9nRJP9VbJeieVSgto928UkCPDKu/SmNCfpClD+ore&#10;LIvIg2HrNtgyGGqH8r1p03lPvvDnwHka/wKOxLbMdyOBhDCq1zIIQPKs7ASr35qahJNDiw3eLBrJ&#10;aFFTogRexBilzMCkuiQTvVMmQovU5pNLsV5jhWIUhv2AoDHc2/qEle6x1VHslwMDZHBwINsO7Z4n&#10;WTEP+yzVZboTsZHP1xif/wc2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DXMRCUGwIAAE8E&#10;AAAOAAAAAAAAAAEAIAAAACMBAABkcnMvZTJvRG9jLnhtbFBLBQYAAAAABgAGAFkBAACwBQAAAAA=&#10;">
                  <v:fill on="t" focussize="0,0"/>
                  <v:stroke color="#000000" joinstyle="miter"/>
                  <v:imagedata o:title=""/>
                  <o:lock v:ext="edit" aspectratio="f"/>
                  <v:textbox>
                    <w:txbxContent>
                      <w:p w14:paraId="63DD92E9">
                        <w:pPr>
                          <w:ind w:firstLine="89" w:firstLineChars="49"/>
                          <w:rPr>
                            <w:b/>
                            <w:sz w:val="18"/>
                            <w:szCs w:val="18"/>
                          </w:rPr>
                        </w:pPr>
                        <w:r>
                          <w:rPr>
                            <w:rFonts w:hint="eastAsia"/>
                            <w:b/>
                            <w:sz w:val="18"/>
                            <w:szCs w:val="18"/>
                          </w:rPr>
                          <w:t>PR5</w:t>
                        </w:r>
                      </w:p>
                    </w:txbxContent>
                  </v:textbox>
                </v:rect>
                <v:rect id="矩形 23" o:spid="_x0000_s1026" o:spt="1" style="position:absolute;left:2305050;top:1651000;height:245110;width:1624330;" fillcolor="#FFFFFF" filled="t" stroked="f" coordsize="21600,21600" o:gfxdata="UEsDBAoAAAAAAIdO4kAAAAAAAAAAAAAAAAAEAAAAZHJzL1BLAwQUAAAACACHTuJAP2E6v9QAAAAF&#10;AQAADwAAAGRycy9kb3ducmV2LnhtbE2PwU7DMBBE70j8g7WVuFE7Baw0xOkBqSfgQIvEdRtvk6ix&#10;HWKnDX/PwgUuI61mNfOm3MyuF2caYxe8gWypQJCvg+18Y+B9v73NQcSE3mIfPBn4ogib6vqqxMKG&#10;i3+j8y41gkN8LNBAm9JQSBnrlhzGZRjIs3cMo8PE59hIO+KFw10vV0pp6bDz3NDiQE8t1afd5Ayg&#10;vrefr8e7l/3zpHHdzGr78KGMuVlk6hFEojn9PcMPPqNDxUyHMHkbRW+Ah6RfZU9nOc84GFitcw2y&#10;KuV/+uobUEsDBBQAAAAIAIdO4kARRs+80QEAAJMDAAAOAAAAZHJzL2Uyb0RvYy54bWytU82O0zAQ&#10;viPxDpbvND/dVqhqugeqckGw0sIDuI7TWPIfM26TPg0SNx6Cx0G8BmMnLMty2QOJ5MzYn7+Zb2ay&#10;vR2tYRcFqL1reLUoOVNO+la7U8M/fTy8es0ZRuFaYbxTDb8q5Le7ly+2Q9io2vfetAoYkTjcDKHh&#10;fYxhUxQoe2UFLnxQjg47D1ZEcuFUtCAGYremqMtyXQwe2gBeKkTa3U+HfGaE5xD6rtNS7b08W+Xi&#10;xArKiEiSsNcB+S5n23VKxg9dhyoy03BSGvNKQcg+prXYbcXmBCL0Ws4piOek8ESTFdpR0AeqvYiC&#10;nUH/Q2W1BI++iwvpbTEJyRUhFVX5pDb3vQgqa6FSY3goOv4/Wvn+cgdMtw2ntjthqeE/v3z78f0r&#10;q5epOEPADWHuwx3MHpKZlI4d2PQlDWxseL0sV/RydqWhWq+qspyLq8bIJAGqdX2zXBJAEqK+WVVV&#10;BhR/mAJgfKu8ZcloOFDzck3F5R1Gik7Q35AUGL3R7UEbkx04Hd8YYBdBjT7kJ6VPV/6CGZfAzqdr&#10;0/G0o/KozGGS5kllsuJ4HGfpR99eqVoDjUvD8fNZgOLsHECfesq3ygHTFepVDj3PVRqGxz7Zj/+l&#10;3S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YTq/1AAAAAUBAAAPAAAAAAAAAAEAIAAAACIAAABk&#10;cnMvZG93bnJldi54bWxQSwECFAAUAAAACACHTuJAEUbPvNEBAACTAwAADgAAAAAAAAABACAAAAAj&#10;AQAAZHJzL2Uyb0RvYy54bWxQSwUGAAAAAAYABgBZAQAAZgUAAAAA&#10;">
                  <v:fill on="t" focussize="0,0"/>
                  <v:stroke on="f"/>
                  <v:imagedata o:title=""/>
                  <o:lock v:ext="edit" aspectratio="f"/>
                  <v:textbox>
                    <w:txbxContent>
                      <w:p w14:paraId="7AE4305D">
                        <w:pPr>
                          <w:jc w:val="center"/>
                          <w:rPr>
                            <w:sz w:val="18"/>
                            <w:szCs w:val="18"/>
                          </w:rPr>
                        </w:pPr>
                        <w:r>
                          <w:rPr>
                            <w:rFonts w:hint="eastAsia"/>
                            <w:sz w:val="18"/>
                            <w:szCs w:val="18"/>
                          </w:rPr>
                          <w:t>风险程度</w:t>
                        </w:r>
                      </w:p>
                    </w:txbxContent>
                  </v:textbox>
                </v:rect>
                <w10:wrap type="none"/>
                <w10:anchorlock/>
              </v:group>
            </w:pict>
          </mc:Fallback>
        </mc:AlternateContent>
      </w:r>
    </w:p>
    <w:p w14:paraId="01F495B4">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14:paraId="472621FE">
      <w:pPr>
        <w:adjustRightInd w:val="0"/>
        <w:snapToGrid w:val="0"/>
        <w:spacing w:line="300" w:lineRule="auto"/>
        <w:rPr>
          <w:b/>
          <w:sz w:val="18"/>
          <w:szCs w:val="18"/>
        </w:rPr>
      </w:pPr>
      <w:r>
        <w:rPr>
          <w:rFonts w:hint="eastAsia"/>
          <w:b/>
          <w:sz w:val="18"/>
          <w:szCs w:val="18"/>
        </w:rPr>
        <w:t>产品概述</w:t>
      </w:r>
    </w:p>
    <w:tbl>
      <w:tblPr>
        <w:tblStyle w:val="8"/>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14:paraId="51903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14:paraId="4B9DC6C0">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14:paraId="6921B45D">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臻享</w:t>
            </w:r>
            <w:r>
              <w:rPr>
                <w:sz w:val="18"/>
                <w:szCs w:val="18"/>
              </w:rPr>
              <w:t>”</w:t>
            </w:r>
            <w:r>
              <w:rPr>
                <w:color w:val="000000"/>
                <w:sz w:val="18"/>
                <w:szCs w:val="18"/>
                <w:u w:val="single"/>
              </w:rPr>
              <w:t>25029</w:t>
            </w:r>
            <w:r>
              <w:rPr>
                <w:sz w:val="18"/>
                <w:szCs w:val="18"/>
                <w:u w:val="single"/>
              </w:rPr>
              <w:t>号</w:t>
            </w:r>
            <w:r>
              <w:rPr>
                <w:rFonts w:hint="eastAsia"/>
                <w:sz w:val="18"/>
                <w:szCs w:val="18"/>
              </w:rPr>
              <w:t>银行理财计划</w:t>
            </w:r>
          </w:p>
        </w:tc>
      </w:tr>
      <w:tr w14:paraId="6BD1A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29189B12">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14:paraId="1E6F4707">
            <w:pPr>
              <w:adjustRightInd w:val="0"/>
              <w:snapToGrid w:val="0"/>
              <w:spacing w:line="288" w:lineRule="auto"/>
              <w:jc w:val="center"/>
              <w:rPr>
                <w:sz w:val="18"/>
                <w:szCs w:val="18"/>
              </w:rPr>
            </w:pPr>
            <w:r>
              <w:rPr>
                <w:rFonts w:hint="eastAsia"/>
                <w:color w:val="000000"/>
                <w:sz w:val="18"/>
                <w:szCs w:val="18"/>
              </w:rPr>
              <w:t>Z25029</w:t>
            </w:r>
          </w:p>
        </w:tc>
      </w:tr>
      <w:tr w14:paraId="73FA3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2E8781FC">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14:paraId="5AF34E12">
            <w:pPr>
              <w:adjustRightInd w:val="0"/>
              <w:snapToGrid w:val="0"/>
              <w:spacing w:line="288" w:lineRule="auto"/>
              <w:jc w:val="center"/>
              <w:rPr>
                <w:color w:val="000000"/>
                <w:sz w:val="18"/>
                <w:szCs w:val="18"/>
                <w:lang w:eastAsia="zh-Hans"/>
              </w:rPr>
            </w:pPr>
            <w:r>
              <w:rPr>
                <w:rFonts w:hint="eastAsia"/>
                <w:color w:val="000000"/>
                <w:sz w:val="18"/>
                <w:szCs w:val="18"/>
                <w:lang w:eastAsia="zh-Hans"/>
              </w:rPr>
              <w:t>C1092225A000010</w:t>
            </w:r>
          </w:p>
          <w:p w14:paraId="6CF82EBA">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14:paraId="385FA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5F96B670">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14:paraId="057879D4">
            <w:pPr>
              <w:adjustRightInd w:val="0"/>
              <w:snapToGrid w:val="0"/>
              <w:spacing w:line="288" w:lineRule="auto"/>
              <w:jc w:val="center"/>
              <w:rPr>
                <w:sz w:val="18"/>
                <w:szCs w:val="18"/>
              </w:rPr>
            </w:pPr>
            <w:r>
              <w:rPr>
                <w:rFonts w:hint="eastAsia"/>
                <w:sz w:val="18"/>
                <w:szCs w:val="18"/>
              </w:rPr>
              <w:t>封闭式净值型</w:t>
            </w:r>
          </w:p>
        </w:tc>
      </w:tr>
      <w:tr w14:paraId="6668D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0369C015">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14:paraId="73240EDE">
            <w:pPr>
              <w:adjustRightInd w:val="0"/>
              <w:snapToGrid w:val="0"/>
              <w:spacing w:line="288" w:lineRule="auto"/>
              <w:jc w:val="center"/>
              <w:rPr>
                <w:sz w:val="18"/>
                <w:szCs w:val="18"/>
              </w:rPr>
            </w:pPr>
            <w:r>
              <w:rPr>
                <w:rFonts w:hint="eastAsia"/>
                <w:sz w:val="18"/>
                <w:szCs w:val="18"/>
                <w:lang w:val="en-US" w:eastAsia="zh-CN"/>
              </w:rPr>
              <w:t>混合</w:t>
            </w:r>
            <w:r>
              <w:rPr>
                <w:rFonts w:hint="eastAsia"/>
                <w:sz w:val="18"/>
                <w:szCs w:val="18"/>
              </w:rPr>
              <w:t>类</w:t>
            </w:r>
          </w:p>
        </w:tc>
      </w:tr>
      <w:tr w14:paraId="3D80E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04ED83F3">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14:paraId="45FFC803">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14:paraId="6EF95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3160141D">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14:paraId="2BAB108D">
            <w:pPr>
              <w:adjustRightInd w:val="0"/>
              <w:snapToGrid w:val="0"/>
              <w:spacing w:line="288" w:lineRule="auto"/>
              <w:jc w:val="center"/>
              <w:rPr>
                <w:sz w:val="18"/>
                <w:szCs w:val="18"/>
              </w:rPr>
            </w:pPr>
            <w:r>
              <w:rPr>
                <w:rFonts w:hint="eastAsia"/>
                <w:sz w:val="18"/>
                <w:szCs w:val="18"/>
              </w:rPr>
              <w:t>经温州银行风险承受能力评估为稳健型、平衡型、进取型、激进型的个人合格投资者</w:t>
            </w:r>
          </w:p>
        </w:tc>
      </w:tr>
      <w:tr w14:paraId="562B7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78849353">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14:paraId="7AE4B4CB">
            <w:pPr>
              <w:adjustRightInd w:val="0"/>
              <w:snapToGrid w:val="0"/>
              <w:spacing w:line="288" w:lineRule="auto"/>
              <w:jc w:val="center"/>
              <w:rPr>
                <w:sz w:val="18"/>
                <w:szCs w:val="18"/>
              </w:rPr>
            </w:pPr>
            <w:r>
              <w:rPr>
                <w:rFonts w:hint="eastAsia"/>
                <w:sz w:val="18"/>
                <w:szCs w:val="18"/>
              </w:rPr>
              <w:t>私募</w:t>
            </w:r>
          </w:p>
        </w:tc>
      </w:tr>
      <w:tr w14:paraId="50796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151C29EC">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14:paraId="7B06987C">
            <w:pPr>
              <w:adjustRightInd w:val="0"/>
              <w:snapToGrid w:val="0"/>
              <w:spacing w:line="288" w:lineRule="auto"/>
              <w:jc w:val="center"/>
              <w:rPr>
                <w:sz w:val="18"/>
                <w:szCs w:val="18"/>
              </w:rPr>
            </w:pPr>
            <w:r>
              <w:rPr>
                <w:rFonts w:hint="eastAsia"/>
                <w:color w:val="000000"/>
                <w:sz w:val="18"/>
                <w:szCs w:val="18"/>
                <w:u w:val="single"/>
                <w:lang w:val="en-US" w:eastAsia="zh-CN"/>
              </w:rPr>
              <w:t>601</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14:paraId="26234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2009F0B0">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14:paraId="5D64D4B9">
            <w:pPr>
              <w:adjustRightInd w:val="0"/>
              <w:snapToGrid w:val="0"/>
              <w:spacing w:line="288" w:lineRule="auto"/>
              <w:jc w:val="center"/>
              <w:rPr>
                <w:sz w:val="18"/>
                <w:szCs w:val="18"/>
              </w:rPr>
            </w:pPr>
            <w:r>
              <w:rPr>
                <w:rFonts w:hint="eastAsia"/>
                <w:sz w:val="18"/>
                <w:szCs w:val="18"/>
              </w:rPr>
              <w:t>人民币</w:t>
            </w:r>
          </w:p>
        </w:tc>
      </w:tr>
      <w:tr w14:paraId="38A63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2F3C29A3">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14:paraId="019ACF05">
            <w:pPr>
              <w:adjustRightInd w:val="0"/>
              <w:snapToGrid w:val="0"/>
              <w:spacing w:line="288" w:lineRule="auto"/>
              <w:jc w:val="center"/>
              <w:rPr>
                <w:sz w:val="18"/>
                <w:szCs w:val="18"/>
              </w:rPr>
            </w:pPr>
            <w:r>
              <w:rPr>
                <w:rFonts w:hint="eastAsia"/>
                <w:sz w:val="18"/>
                <w:szCs w:val="18"/>
              </w:rPr>
              <w:t>非保本浮动收益型</w:t>
            </w:r>
          </w:p>
        </w:tc>
      </w:tr>
      <w:tr w14:paraId="2460F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3C4B5BE9">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14:paraId="68C4FCC1">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14:paraId="15950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06F732B8">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14:paraId="177CF59A">
            <w:pPr>
              <w:adjustRightInd w:val="0"/>
              <w:snapToGrid w:val="0"/>
              <w:spacing w:line="288" w:lineRule="auto"/>
              <w:jc w:val="center"/>
              <w:rPr>
                <w:sz w:val="18"/>
                <w:szCs w:val="18"/>
                <w:u w:val="single"/>
              </w:rPr>
            </w:pPr>
            <w:r>
              <w:rPr>
                <w:rFonts w:hint="eastAsia"/>
                <w:color w:val="000000"/>
                <w:sz w:val="18"/>
                <w:u w:val="single"/>
              </w:rPr>
              <w:t>2025年11月4日至</w:t>
            </w:r>
            <w:r>
              <w:rPr>
                <w:color w:val="000000"/>
                <w:sz w:val="18"/>
                <w:u w:val="single"/>
              </w:rPr>
              <w:t>2025年11月10日</w:t>
            </w:r>
          </w:p>
        </w:tc>
      </w:tr>
      <w:tr w14:paraId="6A695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1618B4EF">
            <w:pPr>
              <w:adjustRightInd w:val="0"/>
              <w:snapToGrid w:val="0"/>
              <w:spacing w:line="288" w:lineRule="auto"/>
              <w:jc w:val="center"/>
              <w:rPr>
                <w:sz w:val="18"/>
                <w:szCs w:val="18"/>
              </w:rPr>
            </w:pPr>
            <w:r>
              <w:rPr>
                <w:rFonts w:hint="eastAsia"/>
                <w:sz w:val="18"/>
                <w:szCs w:val="18"/>
              </w:rPr>
              <w:t>投资冷静期</w:t>
            </w:r>
          </w:p>
        </w:tc>
        <w:tc>
          <w:tcPr>
            <w:tcW w:w="7918" w:type="dxa"/>
            <w:tcBorders>
              <w:top w:val="single" w:color="auto" w:sz="4" w:space="0"/>
              <w:left w:val="single" w:color="auto" w:sz="4" w:space="0"/>
              <w:bottom w:val="single" w:color="auto" w:sz="4" w:space="0"/>
              <w:right w:val="single" w:color="auto" w:sz="4" w:space="0"/>
            </w:tcBorders>
            <w:vAlign w:val="center"/>
          </w:tcPr>
          <w:p w14:paraId="710F716D">
            <w:pPr>
              <w:adjustRightInd w:val="0"/>
              <w:snapToGrid w:val="0"/>
              <w:spacing w:line="288" w:lineRule="auto"/>
              <w:jc w:val="center"/>
              <w:rPr>
                <w:color w:val="000000"/>
                <w:sz w:val="18"/>
                <w:szCs w:val="22"/>
                <w:u w:val="single"/>
              </w:rPr>
            </w:pPr>
            <w:r>
              <w:rPr>
                <w:color w:val="000000"/>
                <w:sz w:val="18"/>
                <w:szCs w:val="22"/>
                <w:u w:val="single"/>
              </w:rPr>
              <w:t>认购期最后一天为冷静期</w:t>
            </w:r>
            <w:r>
              <w:rPr>
                <w:rFonts w:hint="eastAsia"/>
                <w:color w:val="000000"/>
                <w:sz w:val="18"/>
                <w:szCs w:val="22"/>
                <w:u w:val="single"/>
              </w:rPr>
              <w:t>，</w:t>
            </w:r>
            <w:r>
              <w:rPr>
                <w:color w:val="000000"/>
                <w:sz w:val="18"/>
                <w:szCs w:val="22"/>
                <w:u w:val="single"/>
              </w:rPr>
              <w:t>不可认购</w:t>
            </w:r>
            <w:r>
              <w:rPr>
                <w:rFonts w:hint="eastAsia"/>
                <w:color w:val="000000"/>
                <w:sz w:val="18"/>
                <w:szCs w:val="22"/>
                <w:u w:val="single"/>
              </w:rPr>
              <w:t>，</w:t>
            </w:r>
            <w:r>
              <w:rPr>
                <w:color w:val="000000"/>
                <w:sz w:val="18"/>
                <w:szCs w:val="22"/>
                <w:u w:val="single"/>
              </w:rPr>
              <w:t>可撤单</w:t>
            </w:r>
            <w:r>
              <w:rPr>
                <w:rFonts w:hint="eastAsia"/>
                <w:color w:val="000000"/>
                <w:sz w:val="18"/>
                <w:szCs w:val="22"/>
                <w:u w:val="single"/>
              </w:rPr>
              <w:t>。</w:t>
            </w:r>
            <w:r>
              <w:rPr>
                <w:color w:val="000000"/>
                <w:sz w:val="18"/>
                <w:szCs w:val="22"/>
                <w:u w:val="single"/>
              </w:rPr>
              <w:t>投资者在认购期首日</w:t>
            </w:r>
            <w:r>
              <w:rPr>
                <w:rFonts w:hint="eastAsia"/>
                <w:color w:val="000000"/>
                <w:sz w:val="18"/>
                <w:szCs w:val="22"/>
                <w:u w:val="single"/>
              </w:rPr>
              <w:t>9:0</w:t>
            </w:r>
            <w:r>
              <w:rPr>
                <w:color w:val="000000"/>
                <w:sz w:val="18"/>
                <w:szCs w:val="22"/>
                <w:u w:val="single"/>
              </w:rPr>
              <w:t>0至产品成立前一日</w:t>
            </w:r>
            <w:r>
              <w:rPr>
                <w:rFonts w:hint="eastAsia"/>
                <w:color w:val="000000"/>
                <w:sz w:val="18"/>
                <w:szCs w:val="22"/>
                <w:u w:val="single"/>
              </w:rPr>
              <w:t>1</w:t>
            </w:r>
            <w:r>
              <w:rPr>
                <w:color w:val="000000"/>
                <w:sz w:val="18"/>
                <w:szCs w:val="22"/>
                <w:u w:val="single"/>
              </w:rPr>
              <w:t>7</w:t>
            </w:r>
            <w:r>
              <w:rPr>
                <w:rFonts w:hint="eastAsia"/>
                <w:color w:val="000000"/>
                <w:sz w:val="18"/>
                <w:szCs w:val="22"/>
                <w:u w:val="single"/>
              </w:rPr>
              <w:t>:00之前均可申请撤单。</w:t>
            </w:r>
          </w:p>
        </w:tc>
      </w:tr>
      <w:tr w14:paraId="52F1F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44222283">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14:paraId="5B4D1982">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14:paraId="518ED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75A7528F">
            <w:pPr>
              <w:adjustRightInd w:val="0"/>
              <w:snapToGrid w:val="0"/>
              <w:spacing w:line="288" w:lineRule="auto"/>
              <w:jc w:val="center"/>
              <w:rPr>
                <w:sz w:val="18"/>
                <w:szCs w:val="18"/>
              </w:rPr>
            </w:pPr>
            <w:r>
              <w:rPr>
                <w:rFonts w:hint="eastAsia"/>
                <w:sz w:val="18"/>
                <w:szCs w:val="18"/>
              </w:rPr>
              <w:t>理财开始日</w:t>
            </w:r>
          </w:p>
          <w:p w14:paraId="2B59A6D6">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14:paraId="54A5A91F">
            <w:pPr>
              <w:adjustRightInd w:val="0"/>
              <w:snapToGrid w:val="0"/>
              <w:spacing w:line="288" w:lineRule="auto"/>
              <w:jc w:val="center"/>
              <w:rPr>
                <w:sz w:val="18"/>
                <w:szCs w:val="18"/>
              </w:rPr>
            </w:pPr>
            <w:r>
              <w:rPr>
                <w:rFonts w:hint="eastAsia"/>
                <w:color w:val="000000"/>
                <w:sz w:val="18"/>
                <w:szCs w:val="18"/>
                <w:u w:val="single"/>
                <w:lang w:val="en-US" w:eastAsia="zh-CN"/>
              </w:rPr>
              <w:t>2025年11月11日</w:t>
            </w:r>
          </w:p>
        </w:tc>
      </w:tr>
      <w:tr w14:paraId="3F735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273B175A">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14:paraId="3CA34C4A">
            <w:pPr>
              <w:adjustRightInd w:val="0"/>
              <w:snapToGrid w:val="0"/>
              <w:spacing w:line="288" w:lineRule="auto"/>
              <w:jc w:val="center"/>
              <w:rPr>
                <w:color w:val="000000"/>
                <w:sz w:val="18"/>
                <w:szCs w:val="24"/>
                <w:u w:val="single"/>
              </w:rPr>
            </w:pPr>
            <w:r>
              <w:rPr>
                <w:rFonts w:hint="eastAsia"/>
                <w:color w:val="000000"/>
                <w:sz w:val="18"/>
                <w:szCs w:val="24"/>
                <w:u w:val="single"/>
                <w:lang w:val="en-US" w:eastAsia="zh-CN"/>
              </w:rPr>
              <w:t>2027年7月5日</w:t>
            </w:r>
          </w:p>
        </w:tc>
      </w:tr>
      <w:tr w14:paraId="2DC1B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1C38213A">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14:paraId="233A1AD5">
            <w:pPr>
              <w:adjustRightInd w:val="0"/>
              <w:snapToGrid w:val="0"/>
              <w:spacing w:line="288" w:lineRule="auto"/>
              <w:jc w:val="center"/>
              <w:rPr>
                <w:sz w:val="18"/>
                <w:szCs w:val="18"/>
              </w:rPr>
            </w:pPr>
            <w:r>
              <w:rPr>
                <w:rFonts w:hint="eastAsia"/>
                <w:color w:val="000000"/>
                <w:sz w:val="18"/>
                <w:szCs w:val="18"/>
                <w:lang w:val="en-US" w:eastAsia="zh-CN"/>
              </w:rPr>
              <w:t>2.75%</w:t>
            </w:r>
            <w:r>
              <w:rPr>
                <w:rFonts w:hint="eastAsia"/>
                <w:sz w:val="18"/>
                <w:szCs w:val="18"/>
              </w:rPr>
              <w:t>（年化）</w:t>
            </w:r>
          </w:p>
          <w:p w14:paraId="22E54C14">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14:paraId="5DDB6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63FD0C78">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14:paraId="1180EFC9">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14:paraId="5DD4B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78C322F0">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14:paraId="43115E1E">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14:paraId="7956F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7B996542">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14:paraId="5BEBC607">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14:paraId="6EA2E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463894BB">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14:paraId="4EADF0F9">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14:paraId="7864C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30A5A1B6">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14:paraId="1964FDFE">
            <w:pPr>
              <w:adjustRightInd w:val="0"/>
              <w:snapToGrid w:val="0"/>
              <w:spacing w:line="288" w:lineRule="auto"/>
              <w:rPr>
                <w:sz w:val="18"/>
                <w:szCs w:val="18"/>
              </w:rPr>
            </w:pPr>
            <w:r>
              <w:rPr>
                <w:rFonts w:hint="eastAsia"/>
                <w:sz w:val="18"/>
                <w:szCs w:val="18"/>
              </w:rPr>
              <w:t>认购金额4</w:t>
            </w:r>
            <w:r>
              <w:rPr>
                <w:sz w:val="18"/>
                <w:szCs w:val="18"/>
              </w:rPr>
              <w:t>0</w:t>
            </w:r>
            <w:r>
              <w:rPr>
                <w:rFonts w:hint="eastAsia"/>
                <w:sz w:val="18"/>
                <w:szCs w:val="18"/>
              </w:rPr>
              <w:t>万元起，以</w:t>
            </w:r>
            <w:r>
              <w:rPr>
                <w:sz w:val="18"/>
                <w:szCs w:val="18"/>
              </w:rPr>
              <w:t>1</w:t>
            </w:r>
            <w:r>
              <w:rPr>
                <w:rFonts w:hint="eastAsia"/>
                <w:sz w:val="18"/>
                <w:szCs w:val="18"/>
              </w:rPr>
              <w:t>000元的整数倍追加；认购份额</w:t>
            </w:r>
            <w:r>
              <w:rPr>
                <w:sz w:val="18"/>
                <w:szCs w:val="18"/>
              </w:rPr>
              <w:t>=</w:t>
            </w:r>
            <w:r>
              <w:rPr>
                <w:rFonts w:hint="eastAsia"/>
                <w:sz w:val="18"/>
                <w:szCs w:val="18"/>
              </w:rPr>
              <w:t>认购金额</w:t>
            </w:r>
            <w:r>
              <w:rPr>
                <w:sz w:val="18"/>
                <w:szCs w:val="18"/>
              </w:rPr>
              <w:t>/1</w:t>
            </w:r>
            <w:r>
              <w:rPr>
                <w:rFonts w:hint="eastAsia"/>
                <w:sz w:val="18"/>
                <w:szCs w:val="18"/>
              </w:rPr>
              <w:t>元。认购份额保留至</w:t>
            </w:r>
            <w:r>
              <w:rPr>
                <w:sz w:val="18"/>
                <w:szCs w:val="18"/>
              </w:rPr>
              <w:t>0.01</w:t>
            </w:r>
            <w:r>
              <w:rPr>
                <w:rFonts w:hint="eastAsia"/>
                <w:sz w:val="18"/>
                <w:szCs w:val="18"/>
              </w:rPr>
              <w:t>份理财产品份额，小数点后两位以下四舍五入。</w:t>
            </w:r>
          </w:p>
        </w:tc>
      </w:tr>
      <w:tr w14:paraId="7ACC4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0045B7B5">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14:paraId="0D055D1D">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14:paraId="471FB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47E67AE8">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14:paraId="6F035A88">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14:paraId="3ADE1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12543B39">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14:paraId="0DD0A29D">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14:paraId="77DC1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247A7891">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14:paraId="6F2A62B3">
            <w:pPr>
              <w:adjustRightInd w:val="0"/>
              <w:snapToGrid w:val="0"/>
              <w:spacing w:line="288" w:lineRule="auto"/>
              <w:rPr>
                <w:sz w:val="18"/>
                <w:szCs w:val="18"/>
              </w:rPr>
            </w:pPr>
            <w:r>
              <w:rPr>
                <w:rFonts w:hint="eastAsia"/>
                <w:sz w:val="18"/>
                <w:szCs w:val="18"/>
              </w:rPr>
              <w:t>温州银行将至少按季度在温州银行官方网站或电子银行等信息平台披露产品资产净值、份额净值和其他重要信息。</w:t>
            </w:r>
          </w:p>
        </w:tc>
      </w:tr>
      <w:tr w14:paraId="05B53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121870ED">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14:paraId="68D0CB09">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14:paraId="6B598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2175B801">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14:paraId="191D1F40">
            <w:pPr>
              <w:adjustRightInd w:val="0"/>
              <w:snapToGrid w:val="0"/>
              <w:spacing w:line="288" w:lineRule="auto"/>
              <w:rPr>
                <w:sz w:val="18"/>
                <w:szCs w:val="18"/>
              </w:rPr>
            </w:pPr>
            <w:r>
              <w:rPr>
                <w:rFonts w:hint="eastAsia"/>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14:paraId="7F671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0C586E87">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14:paraId="625DDDCB">
            <w:pPr>
              <w:adjustRightInd w:val="0"/>
              <w:snapToGrid w:val="0"/>
              <w:spacing w:line="288" w:lineRule="auto"/>
              <w:rPr>
                <w:sz w:val="18"/>
                <w:szCs w:val="18"/>
              </w:rPr>
            </w:pPr>
            <w:r>
              <w:rPr>
                <w:rFonts w:hint="eastAsia"/>
                <w:sz w:val="18"/>
                <w:szCs w:val="18"/>
              </w:rPr>
              <w:t>国家法定工作日</w:t>
            </w:r>
          </w:p>
        </w:tc>
      </w:tr>
      <w:tr w14:paraId="43787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14:paraId="56A28BE7">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14:paraId="1D247A81">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14:paraId="1B23DC7E">
      <w:pPr>
        <w:adjustRightInd w:val="0"/>
        <w:snapToGrid w:val="0"/>
        <w:spacing w:before="156" w:beforeLines="50" w:line="300" w:lineRule="auto"/>
        <w:rPr>
          <w:b/>
          <w:sz w:val="18"/>
          <w:szCs w:val="18"/>
        </w:rPr>
      </w:pPr>
      <w:r>
        <w:rPr>
          <w:rFonts w:hint="eastAsia"/>
          <w:b/>
          <w:sz w:val="18"/>
          <w:szCs w:val="18"/>
        </w:rPr>
        <w:t>投资管理</w:t>
      </w:r>
    </w:p>
    <w:p w14:paraId="7B3A136A">
      <w:pPr>
        <w:adjustRightInd w:val="0"/>
        <w:snapToGrid w:val="0"/>
        <w:spacing w:line="300" w:lineRule="auto"/>
        <w:rPr>
          <w:sz w:val="18"/>
          <w:szCs w:val="18"/>
        </w:rPr>
      </w:pPr>
      <w:r>
        <w:rPr>
          <w:rFonts w:hint="eastAsia"/>
          <w:sz w:val="18"/>
          <w:szCs w:val="18"/>
        </w:rPr>
        <w:t>1、投资范围</w:t>
      </w:r>
    </w:p>
    <w:p w14:paraId="26EDE794">
      <w:pPr>
        <w:adjustRightInd w:val="0"/>
        <w:snapToGrid w:val="0"/>
        <w:spacing w:line="300" w:lineRule="auto"/>
        <w:rPr>
          <w:rFonts w:hint="eastAsia"/>
          <w:sz w:val="18"/>
          <w:szCs w:val="18"/>
        </w:rPr>
      </w:pPr>
      <w:r>
        <w:rPr>
          <w:rFonts w:hint="eastAsia"/>
          <w:sz w:val="18"/>
          <w:szCs w:val="18"/>
        </w:rPr>
        <w:t>本产品为</w:t>
      </w:r>
      <w:r>
        <w:rPr>
          <w:rFonts w:hint="eastAsia"/>
          <w:sz w:val="18"/>
          <w:szCs w:val="18"/>
          <w:lang w:val="en-US" w:eastAsia="zh-CN"/>
        </w:rPr>
        <w:t>混合</w:t>
      </w:r>
      <w:r>
        <w:rPr>
          <w:rFonts w:hint="eastAsia"/>
          <w:sz w:val="18"/>
          <w:szCs w:val="18"/>
        </w:rPr>
        <w:t>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本产品的收益主要来源于理财资金所投资资产的投资回报。投资者按其认购金额占该理财产品项下所有认购资金的比例，承担相应比例的收益和风险。</w:t>
      </w:r>
    </w:p>
    <w:p w14:paraId="01E0F4A2">
      <w:pPr>
        <w:numPr>
          <w:ilvl w:val="0"/>
          <w:numId w:val="1"/>
        </w:numPr>
        <w:adjustRightInd w:val="0"/>
        <w:snapToGrid w:val="0"/>
        <w:spacing w:line="288" w:lineRule="auto"/>
        <w:rPr>
          <w:sz w:val="18"/>
          <w:szCs w:val="18"/>
        </w:rPr>
      </w:pPr>
      <w:r>
        <w:rPr>
          <w:rFonts w:hint="eastAsia"/>
          <w:sz w:val="18"/>
          <w:szCs w:val="18"/>
        </w:rPr>
        <w:t>投资范围与投资比例</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89"/>
        <w:gridCol w:w="5408"/>
        <w:gridCol w:w="1703"/>
      </w:tblGrid>
      <w:tr w14:paraId="57D8B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Align w:val="center"/>
          </w:tcPr>
          <w:p w14:paraId="5816212C">
            <w:pPr>
              <w:widowControl/>
              <w:jc w:val="both"/>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08" w:type="dxa"/>
            <w:vAlign w:val="center"/>
          </w:tcPr>
          <w:p w14:paraId="04A464BC">
            <w:pPr>
              <w:widowControl/>
              <w:jc w:val="both"/>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vAlign w:val="center"/>
          </w:tcPr>
          <w:p w14:paraId="6370EEC9">
            <w:pPr>
              <w:widowControl/>
              <w:jc w:val="both"/>
              <w:rPr>
                <w:rFonts w:ascii="宋体" w:hAnsi="宋体" w:cs="宋体"/>
                <w:color w:val="000000"/>
                <w:kern w:val="0"/>
                <w:sz w:val="18"/>
                <w:szCs w:val="18"/>
              </w:rPr>
            </w:pPr>
            <w:r>
              <w:rPr>
                <w:rFonts w:hint="eastAsia" w:ascii="宋体" w:hAnsi="宋体" w:cs="宋体"/>
                <w:color w:val="000000"/>
                <w:kern w:val="0"/>
                <w:sz w:val="18"/>
                <w:szCs w:val="18"/>
              </w:rPr>
              <w:t>投资比例</w:t>
            </w:r>
          </w:p>
        </w:tc>
      </w:tr>
      <w:tr w14:paraId="41134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Merge w:val="restart"/>
            <w:vAlign w:val="center"/>
          </w:tcPr>
          <w:p w14:paraId="41CA8280">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08" w:type="dxa"/>
            <w:vAlign w:val="center"/>
          </w:tcPr>
          <w:p w14:paraId="5CE95101">
            <w:pPr>
              <w:widowControl/>
              <w:jc w:val="both"/>
              <w:rPr>
                <w:rFonts w:ascii="宋体" w:hAnsi="宋体" w:cs="宋体"/>
                <w:color w:val="000000"/>
                <w:kern w:val="0"/>
                <w:sz w:val="18"/>
                <w:szCs w:val="18"/>
              </w:rPr>
            </w:pPr>
            <w:r>
              <w:rPr>
                <w:rFonts w:hint="eastAsia" w:ascii="宋体" w:hAnsi="宋体" w:cs="宋体"/>
                <w:color w:val="000000"/>
                <w:kern w:val="0"/>
                <w:sz w:val="18"/>
                <w:szCs w:val="18"/>
              </w:rPr>
              <w:t>存款、大额存单、同业存单、债券回购、货币市场工具、债券等债权类资产</w:t>
            </w:r>
          </w:p>
        </w:tc>
        <w:tc>
          <w:tcPr>
            <w:tcW w:w="1703" w:type="dxa"/>
            <w:vMerge w:val="restart"/>
            <w:vAlign w:val="center"/>
          </w:tcPr>
          <w:p w14:paraId="44BA8D0B">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20</w:t>
            </w:r>
            <w:r>
              <w:rPr>
                <w:rFonts w:hint="eastAsia" w:ascii="宋体" w:hAnsi="宋体" w:cs="宋体"/>
                <w:color w:val="000000"/>
                <w:kern w:val="0"/>
                <w:sz w:val="18"/>
                <w:szCs w:val="18"/>
              </w:rPr>
              <w:t>-</w:t>
            </w:r>
            <w:r>
              <w:rPr>
                <w:rFonts w:hint="eastAsia" w:ascii="宋体" w:hAnsi="宋体" w:cs="宋体"/>
                <w:color w:val="000000"/>
                <w:kern w:val="0"/>
                <w:sz w:val="18"/>
                <w:szCs w:val="18"/>
                <w:lang w:val="en-US" w:eastAsia="zh-CN"/>
              </w:rPr>
              <w:t>80</w:t>
            </w:r>
            <w:r>
              <w:rPr>
                <w:rFonts w:hint="eastAsia" w:ascii="宋体" w:hAnsi="宋体" w:cs="宋体"/>
                <w:color w:val="000000"/>
                <w:kern w:val="0"/>
                <w:sz w:val="18"/>
                <w:szCs w:val="18"/>
              </w:rPr>
              <w:t>%</w:t>
            </w:r>
          </w:p>
        </w:tc>
      </w:tr>
      <w:tr w14:paraId="06DD1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Merge w:val="continue"/>
            <w:vAlign w:val="center"/>
          </w:tcPr>
          <w:p w14:paraId="451C3B8F">
            <w:pPr>
              <w:widowControl/>
              <w:jc w:val="both"/>
              <w:rPr>
                <w:rFonts w:ascii="宋体" w:hAnsi="宋体" w:cs="宋体"/>
                <w:color w:val="000000"/>
                <w:kern w:val="0"/>
                <w:sz w:val="18"/>
                <w:szCs w:val="18"/>
              </w:rPr>
            </w:pPr>
          </w:p>
        </w:tc>
        <w:tc>
          <w:tcPr>
            <w:tcW w:w="5408" w:type="dxa"/>
            <w:vAlign w:val="center"/>
          </w:tcPr>
          <w:p w14:paraId="6E3DF05C">
            <w:pPr>
              <w:widowControl/>
              <w:jc w:val="both"/>
              <w:rPr>
                <w:rFonts w:ascii="宋体" w:hAnsi="宋体" w:cs="宋体"/>
                <w:color w:val="000000"/>
                <w:kern w:val="0"/>
                <w:sz w:val="18"/>
                <w:szCs w:val="18"/>
              </w:rPr>
            </w:pPr>
            <w:r>
              <w:rPr>
                <w:rFonts w:hint="eastAsia"/>
                <w:sz w:val="18"/>
                <w:szCs w:val="18"/>
              </w:rPr>
              <w:t>信托计划、理财直融工具等非标准化债权资产</w:t>
            </w:r>
          </w:p>
        </w:tc>
        <w:tc>
          <w:tcPr>
            <w:tcW w:w="1703" w:type="dxa"/>
            <w:vMerge w:val="continue"/>
            <w:vAlign w:val="center"/>
          </w:tcPr>
          <w:p w14:paraId="08396B65">
            <w:pPr>
              <w:widowControl/>
              <w:jc w:val="both"/>
              <w:rPr>
                <w:rFonts w:ascii="宋体" w:hAnsi="宋体" w:cs="宋体"/>
                <w:color w:val="000000"/>
                <w:kern w:val="0"/>
                <w:sz w:val="18"/>
                <w:szCs w:val="18"/>
              </w:rPr>
            </w:pPr>
          </w:p>
        </w:tc>
      </w:tr>
      <w:tr w14:paraId="2C6BD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Merge w:val="continue"/>
            <w:vAlign w:val="center"/>
          </w:tcPr>
          <w:p w14:paraId="0FF5038E">
            <w:pPr>
              <w:widowControl/>
              <w:jc w:val="both"/>
              <w:rPr>
                <w:rFonts w:ascii="宋体" w:hAnsi="宋体" w:cs="宋体"/>
                <w:color w:val="000000"/>
                <w:kern w:val="0"/>
                <w:sz w:val="18"/>
                <w:szCs w:val="18"/>
              </w:rPr>
            </w:pPr>
          </w:p>
        </w:tc>
        <w:tc>
          <w:tcPr>
            <w:tcW w:w="5408" w:type="dxa"/>
            <w:vAlign w:val="center"/>
          </w:tcPr>
          <w:p w14:paraId="75966D10">
            <w:pPr>
              <w:widowControl/>
              <w:jc w:val="both"/>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vAlign w:val="center"/>
          </w:tcPr>
          <w:p w14:paraId="1C0ECA73">
            <w:pPr>
              <w:widowControl/>
              <w:jc w:val="both"/>
              <w:rPr>
                <w:rFonts w:ascii="宋体" w:hAnsi="宋体" w:cs="宋体"/>
                <w:color w:val="000000"/>
                <w:kern w:val="0"/>
                <w:sz w:val="18"/>
                <w:szCs w:val="18"/>
              </w:rPr>
            </w:pPr>
          </w:p>
        </w:tc>
      </w:tr>
      <w:tr w14:paraId="66E66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Align w:val="center"/>
          </w:tcPr>
          <w:p w14:paraId="1F1C42E0">
            <w:pPr>
              <w:widowControl/>
              <w:jc w:val="both"/>
              <w:rPr>
                <w:rFonts w:hint="eastAsia" w:ascii="宋体" w:hAnsi="宋体" w:eastAsia="宋体" w:cs="宋体"/>
                <w:color w:val="000000"/>
                <w:kern w:val="0"/>
                <w:sz w:val="18"/>
                <w:szCs w:val="18"/>
                <w:lang w:eastAsia="zh-CN"/>
              </w:rPr>
            </w:pPr>
            <w:r>
              <w:rPr>
                <w:rFonts w:hint="eastAsia" w:ascii="宋体" w:hAnsi="宋体" w:cs="宋体"/>
                <w:color w:val="000000"/>
                <w:kern w:val="0"/>
                <w:sz w:val="18"/>
                <w:szCs w:val="18"/>
                <w:lang w:val="en-US" w:eastAsia="zh-CN"/>
              </w:rPr>
              <w:t>其他类资产</w:t>
            </w:r>
          </w:p>
        </w:tc>
        <w:tc>
          <w:tcPr>
            <w:tcW w:w="5408" w:type="dxa"/>
            <w:vAlign w:val="center"/>
          </w:tcPr>
          <w:p w14:paraId="614EC1C9">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vAlign w:val="center"/>
          </w:tcPr>
          <w:p w14:paraId="3703B32D">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20</w:t>
            </w:r>
            <w:r>
              <w:rPr>
                <w:rFonts w:hint="eastAsia" w:ascii="宋体" w:hAnsi="宋体" w:cs="宋体"/>
                <w:color w:val="000000"/>
                <w:kern w:val="0"/>
                <w:sz w:val="18"/>
                <w:szCs w:val="18"/>
              </w:rPr>
              <w:t>-</w:t>
            </w:r>
            <w:r>
              <w:rPr>
                <w:rFonts w:hint="eastAsia" w:ascii="宋体" w:hAnsi="宋体" w:cs="宋体"/>
                <w:color w:val="000000"/>
                <w:kern w:val="0"/>
                <w:sz w:val="18"/>
                <w:szCs w:val="18"/>
                <w:lang w:val="en-US" w:eastAsia="zh-CN"/>
              </w:rPr>
              <w:t>50</w:t>
            </w:r>
            <w:r>
              <w:rPr>
                <w:rFonts w:hint="eastAsia" w:ascii="宋体" w:hAnsi="宋体" w:cs="宋体"/>
                <w:color w:val="000000"/>
                <w:kern w:val="0"/>
                <w:sz w:val="18"/>
                <w:szCs w:val="18"/>
              </w:rPr>
              <w:t>%</w:t>
            </w:r>
          </w:p>
        </w:tc>
      </w:tr>
    </w:tbl>
    <w:p w14:paraId="3A1EA127">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14:paraId="5760CF4E">
      <w:pPr>
        <w:adjustRightInd w:val="0"/>
        <w:snapToGrid w:val="0"/>
        <w:spacing w:line="286" w:lineRule="auto"/>
        <w:rPr>
          <w:sz w:val="18"/>
          <w:szCs w:val="18"/>
        </w:rPr>
      </w:pPr>
      <w:r>
        <w:rPr>
          <w:rFonts w:hint="eastAsia"/>
          <w:sz w:val="18"/>
          <w:szCs w:val="18"/>
        </w:rPr>
        <w:t>本理财产品建仓期为自本产品成立日起的六个自然月，温州银行应当自本产品成立日起六个月内使理财计划的投资组合比例符合上述约定。理财产品投资退出期为自理财预计到期日前三个自然月至理财产品终止日，期间各投资品种配置比例可能超出或不足计划的配置比例区间。</w:t>
      </w:r>
    </w:p>
    <w:p w14:paraId="53964BF6">
      <w:pPr>
        <w:adjustRightInd w:val="0"/>
        <w:snapToGrid w:val="0"/>
        <w:spacing w:line="286" w:lineRule="auto"/>
        <w:rPr>
          <w:sz w:val="18"/>
          <w:szCs w:val="18"/>
        </w:rPr>
      </w:pPr>
      <w:r>
        <w:rPr>
          <w:rFonts w:hint="eastAsia"/>
          <w:sz w:val="18"/>
          <w:szCs w:val="18"/>
        </w:rPr>
        <w:t>除上述情形外，非因温州银行主观因素导致突破前述比例限制的，为保护投资者利益，温州银行将在流动性受限资产可出售、可转让或者恢复交易的15个交易日内调整至上述比例范围，国务院银行业监督管理机构规定的特殊情形除外。</w:t>
      </w:r>
    </w:p>
    <w:p w14:paraId="61C201CD">
      <w:pPr>
        <w:adjustRightInd w:val="0"/>
        <w:snapToGrid w:val="0"/>
        <w:spacing w:line="286" w:lineRule="auto"/>
        <w:rPr>
          <w:sz w:val="18"/>
          <w:szCs w:val="18"/>
        </w:rPr>
      </w:pPr>
      <w:r>
        <w:rPr>
          <w:rFonts w:hint="eastAsia"/>
          <w:sz w:val="18"/>
          <w:szCs w:val="18"/>
        </w:rPr>
        <w:t>3、投资策略</w:t>
      </w:r>
    </w:p>
    <w:p w14:paraId="258B3645">
      <w:pPr>
        <w:adjustRightInd w:val="0"/>
        <w:snapToGrid w:val="0"/>
        <w:spacing w:line="286" w:lineRule="auto"/>
        <w:rPr>
          <w:b/>
          <w:sz w:val="18"/>
          <w:szCs w:val="18"/>
        </w:rPr>
      </w:pPr>
      <w:r>
        <w:rPr>
          <w:rFonts w:hint="eastAsia"/>
          <w:sz w:val="18"/>
          <w:szCs w:val="18"/>
        </w:rPr>
        <w:t>本产品采用安全性和流动性优先、追求适度收益的投资策略。主要投资于固定收益类资产，并适当配置一定比例的</w:t>
      </w:r>
      <w:r>
        <w:rPr>
          <w:rFonts w:hint="eastAsia"/>
          <w:sz w:val="18"/>
          <w:szCs w:val="18"/>
          <w:lang w:val="en-US" w:eastAsia="zh-CN"/>
        </w:rPr>
        <w:t>其他类</w:t>
      </w:r>
      <w:r>
        <w:rPr>
          <w:rFonts w:hint="eastAsia"/>
          <w:sz w:val="18"/>
          <w:szCs w:val="18"/>
        </w:rPr>
        <w:t>资产，追求组合风险收益最大化。本产品将在控制产品收益波动幅度的前提下，为投资者做好大类资产配置，力争获取达到或超过业绩比较基准的收益。</w:t>
      </w:r>
    </w:p>
    <w:p w14:paraId="531E7A3E">
      <w:pPr>
        <w:adjustRightInd w:val="0"/>
        <w:snapToGrid w:val="0"/>
        <w:spacing w:line="286" w:lineRule="auto"/>
        <w:rPr>
          <w:b/>
          <w:sz w:val="18"/>
          <w:szCs w:val="18"/>
        </w:rPr>
      </w:pPr>
      <w:r>
        <w:rPr>
          <w:rFonts w:hint="eastAsia"/>
          <w:b/>
          <w:sz w:val="18"/>
          <w:szCs w:val="18"/>
        </w:rPr>
        <w:t>产品销售</w:t>
      </w:r>
    </w:p>
    <w:p w14:paraId="3D3ABA3E">
      <w:pPr>
        <w:adjustRightInd w:val="0"/>
        <w:snapToGrid w:val="0"/>
        <w:spacing w:line="286" w:lineRule="auto"/>
        <w:rPr>
          <w:sz w:val="18"/>
          <w:szCs w:val="18"/>
        </w:rPr>
      </w:pPr>
      <w:r>
        <w:rPr>
          <w:rFonts w:hint="eastAsia"/>
          <w:sz w:val="18"/>
          <w:szCs w:val="18"/>
        </w:rPr>
        <w:t>销售地区范围包括浙江省、上海地区等。</w:t>
      </w:r>
    </w:p>
    <w:p w14:paraId="2DCF9B80">
      <w:pPr>
        <w:adjustRightInd w:val="0"/>
        <w:snapToGrid w:val="0"/>
        <w:spacing w:line="281" w:lineRule="auto"/>
        <w:rPr>
          <w:b/>
          <w:sz w:val="18"/>
          <w:szCs w:val="18"/>
        </w:rPr>
      </w:pPr>
      <w:r>
        <w:rPr>
          <w:rFonts w:hint="eastAsia"/>
          <w:b/>
          <w:sz w:val="18"/>
          <w:szCs w:val="18"/>
        </w:rPr>
        <w:t>合格投资者</w:t>
      </w:r>
    </w:p>
    <w:p w14:paraId="04ED3173">
      <w:pPr>
        <w:adjustRightInd w:val="0"/>
        <w:snapToGrid w:val="0"/>
        <w:spacing w:line="281" w:lineRule="auto"/>
        <w:rPr>
          <w:sz w:val="18"/>
          <w:szCs w:val="18"/>
        </w:rPr>
      </w:pPr>
      <w:r>
        <w:rPr>
          <w:rFonts w:hint="eastAsia"/>
          <w:sz w:val="18"/>
          <w:szCs w:val="18"/>
        </w:rPr>
        <w:t>本产品对应合格投资者指具备相应风险识别能力和风险承担能力，同时满足下列条件的：</w:t>
      </w:r>
    </w:p>
    <w:p w14:paraId="7549FC78">
      <w:pPr>
        <w:adjustRightInd w:val="0"/>
        <w:snapToGrid w:val="0"/>
        <w:spacing w:line="281" w:lineRule="auto"/>
        <w:rPr>
          <w:sz w:val="18"/>
          <w:szCs w:val="18"/>
        </w:rPr>
      </w:pPr>
      <w:r>
        <w:rPr>
          <w:rFonts w:hint="eastAsia"/>
          <w:sz w:val="18"/>
          <w:szCs w:val="18"/>
        </w:rPr>
        <w:t>1、具有2年以上投资经历，且满足下列条件之一的自然人：家庭金融净资产不低于300万元人民币，或者家庭金融资产不低于500万元人民币，或者近3年本人年均收入不低于40万元人民币；</w:t>
      </w:r>
    </w:p>
    <w:p w14:paraId="2A654662">
      <w:pPr>
        <w:adjustRightInd w:val="0"/>
        <w:snapToGrid w:val="0"/>
        <w:spacing w:line="281" w:lineRule="auto"/>
        <w:rPr>
          <w:sz w:val="18"/>
          <w:szCs w:val="18"/>
        </w:rPr>
      </w:pPr>
      <w:r>
        <w:rPr>
          <w:rFonts w:hint="eastAsia"/>
          <w:sz w:val="18"/>
          <w:szCs w:val="18"/>
        </w:rPr>
        <w:t>2、金融监督管理部门视为合格投资者的其他情形。</w:t>
      </w:r>
    </w:p>
    <w:p w14:paraId="4AACEB49">
      <w:pPr>
        <w:adjustRightInd w:val="0"/>
        <w:snapToGrid w:val="0"/>
        <w:spacing w:line="281" w:lineRule="auto"/>
        <w:rPr>
          <w:sz w:val="18"/>
          <w:szCs w:val="18"/>
        </w:rPr>
      </w:pPr>
      <w:r>
        <w:rPr>
          <w:rFonts w:hint="eastAsia"/>
          <w:sz w:val="18"/>
          <w:szCs w:val="18"/>
        </w:rPr>
        <w:t>注：温州银行有权根据监管政策对合格投资者的定义进行准入条件调整，若有调整，温州银行将就相关调整事宜在调整前一个工作日在温州银行网站予以公告。</w:t>
      </w:r>
    </w:p>
    <w:p w14:paraId="4967E8D1">
      <w:pPr>
        <w:adjustRightInd w:val="0"/>
        <w:snapToGrid w:val="0"/>
        <w:spacing w:line="286" w:lineRule="auto"/>
        <w:rPr>
          <w:b/>
          <w:bCs/>
          <w:sz w:val="18"/>
          <w:szCs w:val="18"/>
        </w:rPr>
      </w:pPr>
      <w:r>
        <w:rPr>
          <w:rFonts w:hint="eastAsia"/>
          <w:b/>
          <w:bCs/>
          <w:sz w:val="18"/>
          <w:szCs w:val="18"/>
        </w:rPr>
        <w:t>投资管理人</w:t>
      </w:r>
    </w:p>
    <w:p w14:paraId="333265EB">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14:paraId="7F2A77C4">
      <w:pPr>
        <w:adjustRightInd w:val="0"/>
        <w:snapToGrid w:val="0"/>
        <w:spacing w:line="286" w:lineRule="auto"/>
        <w:rPr>
          <w:b/>
          <w:bCs/>
          <w:sz w:val="18"/>
          <w:szCs w:val="18"/>
        </w:rPr>
      </w:pPr>
      <w:r>
        <w:rPr>
          <w:rFonts w:hint="eastAsia"/>
          <w:b/>
          <w:bCs/>
          <w:sz w:val="18"/>
          <w:szCs w:val="18"/>
        </w:rPr>
        <w:t>产品托管人</w:t>
      </w:r>
    </w:p>
    <w:p w14:paraId="7523B36A">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14:paraId="618D22EF">
      <w:pPr>
        <w:adjustRightInd w:val="0"/>
        <w:snapToGrid w:val="0"/>
        <w:spacing w:line="283" w:lineRule="auto"/>
        <w:rPr>
          <w:sz w:val="18"/>
          <w:szCs w:val="18"/>
        </w:rPr>
      </w:pPr>
      <w:r>
        <w:rPr>
          <w:rFonts w:hint="eastAsia" w:ascii="宋体" w:hAnsi="宋体"/>
          <w:b/>
          <w:bCs/>
          <w:sz w:val="18"/>
          <w:szCs w:val="18"/>
        </w:rPr>
        <w:t>投资合作机构</w:t>
      </w:r>
    </w:p>
    <w:p w14:paraId="7D926BD3">
      <w:pPr>
        <w:rPr>
          <w:szCs w:val="21"/>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rPr>
          <w:rStyle w:val="17"/>
          <w:rFonts w:hint="eastAsia" w:ascii="宋体" w:hAnsi="宋体"/>
          <w:color w:val="auto"/>
          <w:sz w:val="18"/>
          <w:szCs w:val="18"/>
          <w:u w:val="none"/>
        </w:rPr>
        <w:t>www.wzbank.cn</w:t>
      </w:r>
      <w:r>
        <w:rPr>
          <w:rFonts w:hint="eastAsia" w:ascii="宋体" w:hAnsi="宋体"/>
          <w:sz w:val="18"/>
          <w:szCs w:val="18"/>
        </w:rPr>
        <w:t>）查询温州银行理财产品的投资合作机构名单。</w:t>
      </w:r>
    </w:p>
    <w:p w14:paraId="33C26510">
      <w:pPr>
        <w:adjustRightInd w:val="0"/>
        <w:snapToGrid w:val="0"/>
        <w:spacing w:line="286" w:lineRule="auto"/>
        <w:rPr>
          <w:b/>
          <w:bCs/>
          <w:sz w:val="18"/>
          <w:szCs w:val="18"/>
        </w:rPr>
      </w:pPr>
      <w:r>
        <w:rPr>
          <w:rFonts w:hint="eastAsia"/>
          <w:b/>
          <w:bCs/>
          <w:sz w:val="18"/>
          <w:szCs w:val="18"/>
        </w:rPr>
        <w:t>理财产品估值</w:t>
      </w:r>
    </w:p>
    <w:p w14:paraId="33065811">
      <w:pPr>
        <w:adjustRightInd w:val="0"/>
        <w:snapToGrid w:val="0"/>
        <w:spacing w:line="286" w:lineRule="auto"/>
        <w:rPr>
          <w:sz w:val="18"/>
          <w:szCs w:val="18"/>
        </w:rPr>
      </w:pPr>
      <w:r>
        <w:rPr>
          <w:rFonts w:hint="eastAsia"/>
          <w:sz w:val="18"/>
          <w:szCs w:val="18"/>
        </w:rPr>
        <w:t xml:space="preserve">【估值日】 </w:t>
      </w:r>
    </w:p>
    <w:p w14:paraId="7B749851">
      <w:pPr>
        <w:adjustRightInd w:val="0"/>
        <w:snapToGrid w:val="0"/>
        <w:spacing w:line="286" w:lineRule="auto"/>
        <w:rPr>
          <w:sz w:val="18"/>
          <w:szCs w:val="18"/>
        </w:rPr>
      </w:pPr>
      <w:r>
        <w:rPr>
          <w:rFonts w:hint="eastAsia"/>
          <w:sz w:val="18"/>
          <w:szCs w:val="18"/>
        </w:rPr>
        <w:t xml:space="preserve">本理财产品估值日为每个证券交易所的交易日，投资管理人和理财托管人至少每季度核对估值结果并向投资人披露。（如遇非工作日顺延至下一工作日，具体日期以温州银行公告为准）。 </w:t>
      </w:r>
    </w:p>
    <w:p w14:paraId="575A1B88">
      <w:pPr>
        <w:adjustRightInd w:val="0"/>
        <w:snapToGrid w:val="0"/>
        <w:spacing w:line="286" w:lineRule="auto"/>
        <w:rPr>
          <w:sz w:val="18"/>
          <w:szCs w:val="18"/>
        </w:rPr>
      </w:pPr>
      <w:r>
        <w:rPr>
          <w:rFonts w:hint="eastAsia"/>
          <w:sz w:val="18"/>
          <w:szCs w:val="18"/>
        </w:rPr>
        <w:t>【估值对象】</w:t>
      </w:r>
    </w:p>
    <w:p w14:paraId="19DA1ABB">
      <w:pPr>
        <w:adjustRightInd w:val="0"/>
        <w:snapToGrid w:val="0"/>
        <w:spacing w:line="286" w:lineRule="auto"/>
        <w:rPr>
          <w:sz w:val="18"/>
          <w:szCs w:val="18"/>
        </w:rPr>
      </w:pPr>
      <w:r>
        <w:rPr>
          <w:rFonts w:hint="eastAsia"/>
          <w:sz w:val="18"/>
          <w:szCs w:val="18"/>
        </w:rPr>
        <w:t xml:space="preserve"> 本理财产品所拥有的投资资产。</w:t>
      </w:r>
    </w:p>
    <w:p w14:paraId="7037AAA6">
      <w:pPr>
        <w:adjustRightInd w:val="0"/>
        <w:snapToGrid w:val="0"/>
        <w:spacing w:line="286" w:lineRule="auto"/>
        <w:rPr>
          <w:sz w:val="18"/>
          <w:szCs w:val="18"/>
        </w:rPr>
      </w:pPr>
      <w:r>
        <w:rPr>
          <w:rFonts w:hint="eastAsia"/>
          <w:sz w:val="18"/>
          <w:szCs w:val="18"/>
        </w:rPr>
        <w:t xml:space="preserve">【估值目的】 </w:t>
      </w:r>
    </w:p>
    <w:p w14:paraId="2C3F90D0">
      <w:pPr>
        <w:adjustRightInd w:val="0"/>
        <w:snapToGrid w:val="0"/>
        <w:spacing w:line="286" w:lineRule="auto"/>
        <w:rPr>
          <w:sz w:val="18"/>
          <w:szCs w:val="18"/>
        </w:rPr>
      </w:pPr>
      <w:r>
        <w:rPr>
          <w:rFonts w:hint="eastAsia"/>
          <w:sz w:val="18"/>
          <w:szCs w:val="18"/>
        </w:rPr>
        <w:t xml:space="preserve">客观、准确反映理财产品的价值。 </w:t>
      </w:r>
    </w:p>
    <w:p w14:paraId="2AF2559D">
      <w:pPr>
        <w:adjustRightInd w:val="0"/>
        <w:snapToGrid w:val="0"/>
        <w:spacing w:line="286" w:lineRule="auto"/>
        <w:rPr>
          <w:sz w:val="18"/>
          <w:szCs w:val="18"/>
        </w:rPr>
      </w:pPr>
      <w:r>
        <w:rPr>
          <w:rFonts w:hint="eastAsia"/>
          <w:sz w:val="18"/>
          <w:szCs w:val="18"/>
        </w:rPr>
        <w:t xml:space="preserve">【估值方法】 </w:t>
      </w:r>
    </w:p>
    <w:p w14:paraId="25DCEA3B">
      <w:pPr>
        <w:adjustRightInd w:val="0"/>
        <w:snapToGrid w:val="0"/>
        <w:spacing w:line="286" w:lineRule="auto"/>
        <w:rPr>
          <w:sz w:val="18"/>
          <w:szCs w:val="18"/>
        </w:rPr>
      </w:pPr>
      <w:r>
        <w:rPr>
          <w:rFonts w:hint="eastAsia"/>
          <w:sz w:val="18"/>
          <w:szCs w:val="18"/>
        </w:rPr>
        <w:t>1、货币市场工具：</w:t>
      </w:r>
    </w:p>
    <w:p w14:paraId="2C4EF97E">
      <w:pPr>
        <w:adjustRightInd w:val="0"/>
        <w:snapToGrid w:val="0"/>
        <w:spacing w:line="286" w:lineRule="auto"/>
        <w:rPr>
          <w:sz w:val="18"/>
          <w:szCs w:val="18"/>
        </w:rPr>
      </w:pPr>
      <w:r>
        <w:rPr>
          <w:rFonts w:hint="eastAsia"/>
          <w:sz w:val="18"/>
          <w:szCs w:val="18"/>
        </w:rPr>
        <w:t>（1）银行存款类资产及债券回购以本金列示、逐日计提利息。</w:t>
      </w:r>
    </w:p>
    <w:p w14:paraId="5AA46ED4">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14:paraId="560D74BF">
      <w:pPr>
        <w:adjustRightInd w:val="0"/>
        <w:snapToGrid w:val="0"/>
        <w:spacing w:line="286" w:lineRule="auto"/>
        <w:rPr>
          <w:sz w:val="18"/>
          <w:szCs w:val="18"/>
        </w:rPr>
      </w:pPr>
      <w:r>
        <w:rPr>
          <w:rFonts w:hint="eastAsia"/>
          <w:sz w:val="18"/>
          <w:szCs w:val="18"/>
        </w:rPr>
        <w:t>2、债券类资产：</w:t>
      </w:r>
    </w:p>
    <w:p w14:paraId="19118403">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14:paraId="631BD080">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14:paraId="67C11DF4">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14:paraId="6F90924E">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14:paraId="3E98E4ED">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14:paraId="30A8558C">
      <w:pPr>
        <w:adjustRightInd w:val="0"/>
        <w:snapToGrid w:val="0"/>
        <w:spacing w:line="286" w:lineRule="auto"/>
        <w:rPr>
          <w:sz w:val="18"/>
          <w:szCs w:val="18"/>
        </w:rPr>
      </w:pPr>
      <w:r>
        <w:rPr>
          <w:rFonts w:hint="eastAsia"/>
          <w:sz w:val="18"/>
          <w:szCs w:val="18"/>
        </w:rPr>
        <w:t>4、基金、证券、保险等资产管理计划和信托计划等资产（不含货币市场基金）：</w:t>
      </w:r>
    </w:p>
    <w:p w14:paraId="4A717F4E">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14:paraId="3128432F">
      <w:pPr>
        <w:adjustRightInd w:val="0"/>
        <w:snapToGrid w:val="0"/>
        <w:spacing w:line="286" w:lineRule="auto"/>
        <w:rPr>
          <w:sz w:val="18"/>
          <w:szCs w:val="18"/>
        </w:rPr>
      </w:pPr>
      <w:r>
        <w:rPr>
          <w:rFonts w:hint="eastAsia"/>
          <w:sz w:val="18"/>
          <w:szCs w:val="18"/>
        </w:rPr>
        <w:t>5、其他资产：</w:t>
      </w:r>
    </w:p>
    <w:p w14:paraId="0E3BF865">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14:paraId="0F856F6F">
      <w:pPr>
        <w:adjustRightInd w:val="0"/>
        <w:snapToGrid w:val="0"/>
        <w:spacing w:line="286" w:lineRule="auto"/>
        <w:rPr>
          <w:sz w:val="18"/>
          <w:szCs w:val="18"/>
        </w:rPr>
      </w:pPr>
      <w:r>
        <w:rPr>
          <w:rFonts w:hint="eastAsia"/>
          <w:sz w:val="18"/>
          <w:szCs w:val="18"/>
        </w:rPr>
        <w:t>6、其他事项</w:t>
      </w:r>
    </w:p>
    <w:p w14:paraId="1988437F">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14:paraId="025F0406">
      <w:pPr>
        <w:adjustRightInd w:val="0"/>
        <w:snapToGrid w:val="0"/>
        <w:spacing w:line="286" w:lineRule="auto"/>
        <w:rPr>
          <w:sz w:val="18"/>
          <w:szCs w:val="18"/>
        </w:rPr>
      </w:pPr>
      <w:r>
        <w:rPr>
          <w:rFonts w:hint="eastAsia"/>
          <w:sz w:val="18"/>
          <w:szCs w:val="18"/>
        </w:rPr>
        <w:t>【估值错误处理】</w:t>
      </w:r>
    </w:p>
    <w:p w14:paraId="0ADB76B9">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14:paraId="0E67635B">
      <w:pPr>
        <w:adjustRightInd w:val="0"/>
        <w:snapToGrid w:val="0"/>
        <w:spacing w:line="283"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14:paraId="4302A628">
      <w:pPr>
        <w:adjustRightInd w:val="0"/>
        <w:snapToGrid w:val="0"/>
        <w:spacing w:line="286" w:lineRule="auto"/>
        <w:rPr>
          <w:sz w:val="18"/>
          <w:szCs w:val="18"/>
        </w:rPr>
      </w:pPr>
      <w:r>
        <w:rPr>
          <w:rFonts w:hint="eastAsia"/>
          <w:sz w:val="18"/>
          <w:szCs w:val="18"/>
        </w:rPr>
        <w:t>【暂停估值】</w:t>
      </w:r>
    </w:p>
    <w:p w14:paraId="519A0D1B">
      <w:pPr>
        <w:adjustRightInd w:val="0"/>
        <w:snapToGrid w:val="0"/>
        <w:spacing w:line="286" w:lineRule="auto"/>
        <w:rPr>
          <w:sz w:val="18"/>
          <w:szCs w:val="18"/>
        </w:rPr>
      </w:pPr>
      <w:r>
        <w:rPr>
          <w:rFonts w:hint="eastAsia"/>
          <w:sz w:val="18"/>
          <w:szCs w:val="18"/>
        </w:rPr>
        <w:t>本理财计划可暂停估值的情形如下：</w:t>
      </w:r>
    </w:p>
    <w:p w14:paraId="1C178B20">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14:paraId="5A26ACDD">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14:paraId="1704E1EE">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14:paraId="77F1C40D">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14:paraId="52F765B8">
      <w:pPr>
        <w:adjustRightInd w:val="0"/>
        <w:snapToGrid w:val="0"/>
        <w:spacing w:line="286" w:lineRule="auto"/>
        <w:rPr>
          <w:sz w:val="18"/>
          <w:szCs w:val="18"/>
        </w:rPr>
      </w:pPr>
      <w:r>
        <w:rPr>
          <w:rFonts w:hint="eastAsia"/>
          <w:sz w:val="18"/>
          <w:szCs w:val="18"/>
        </w:rPr>
        <w:t>因上述情形暂停估值造成的损失，产品管理人和托管人不承担责任。</w:t>
      </w:r>
    </w:p>
    <w:p w14:paraId="6D4D14A0">
      <w:pPr>
        <w:adjustRightInd w:val="0"/>
        <w:snapToGrid w:val="0"/>
        <w:spacing w:line="286" w:lineRule="auto"/>
        <w:rPr>
          <w:b/>
          <w:sz w:val="18"/>
          <w:szCs w:val="18"/>
        </w:rPr>
      </w:pPr>
      <w:r>
        <w:rPr>
          <w:rFonts w:hint="eastAsia"/>
          <w:b/>
          <w:sz w:val="18"/>
          <w:szCs w:val="18"/>
        </w:rPr>
        <w:t>理财收益测算及相关费用</w:t>
      </w:r>
    </w:p>
    <w:p w14:paraId="0AB3B47D">
      <w:pPr>
        <w:adjustRightInd w:val="0"/>
        <w:snapToGrid w:val="0"/>
        <w:spacing w:line="286" w:lineRule="auto"/>
        <w:rPr>
          <w:sz w:val="18"/>
          <w:szCs w:val="18"/>
        </w:rPr>
      </w:pPr>
      <w:r>
        <w:rPr>
          <w:sz w:val="18"/>
          <w:szCs w:val="18"/>
        </w:rPr>
        <w:t>1</w:t>
      </w:r>
      <w:r>
        <w:rPr>
          <w:rFonts w:hint="eastAsia"/>
          <w:sz w:val="18"/>
          <w:szCs w:val="18"/>
        </w:rPr>
        <w:t>、业绩比较基准</w:t>
      </w:r>
    </w:p>
    <w:p w14:paraId="620EDAA0">
      <w:pPr>
        <w:adjustRightInd w:val="0"/>
        <w:snapToGrid w:val="0"/>
        <w:spacing w:line="286" w:lineRule="auto"/>
        <w:rPr>
          <w:sz w:val="18"/>
          <w:szCs w:val="18"/>
        </w:rPr>
      </w:pPr>
      <w:r>
        <w:rPr>
          <w:rFonts w:hint="eastAsia"/>
          <w:color w:val="000000"/>
          <w:sz w:val="18"/>
          <w:szCs w:val="18"/>
        </w:rPr>
        <w:t>本产品业绩比较基准为2.75%（年化）。本产品业绩比较基准仅作为计提产品浮动管理费的依据，不构成温州银行对该理财产品的任何收益承诺。</w:t>
      </w:r>
    </w:p>
    <w:p w14:paraId="6F5C3E99">
      <w:pPr>
        <w:adjustRightInd w:val="0"/>
        <w:snapToGrid w:val="0"/>
        <w:spacing w:line="286" w:lineRule="auto"/>
        <w:rPr>
          <w:sz w:val="18"/>
          <w:szCs w:val="18"/>
        </w:rPr>
      </w:pPr>
      <w:r>
        <w:rPr>
          <w:rFonts w:hint="eastAsia"/>
          <w:sz w:val="18"/>
          <w:szCs w:val="18"/>
        </w:rPr>
        <w:t>2、理财产品单位净值</w:t>
      </w:r>
    </w:p>
    <w:p w14:paraId="69F0FF25">
      <w:pPr>
        <w:adjustRightInd w:val="0"/>
        <w:snapToGrid w:val="0"/>
        <w:spacing w:line="286" w:lineRule="auto"/>
        <w:rPr>
          <w:sz w:val="18"/>
          <w:szCs w:val="18"/>
        </w:rPr>
      </w:pPr>
      <w:r>
        <w:rPr>
          <w:rFonts w:hint="eastAsia"/>
          <w:sz w:val="18"/>
          <w:szCs w:val="18"/>
        </w:rPr>
        <w:t>理财产品单位净值=理财产品净值÷理财产品份额</w:t>
      </w:r>
    </w:p>
    <w:p w14:paraId="2F8579DC">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14:paraId="55262FAB">
      <w:pPr>
        <w:adjustRightInd w:val="0"/>
        <w:snapToGrid w:val="0"/>
        <w:spacing w:line="286" w:lineRule="auto"/>
        <w:rPr>
          <w:sz w:val="18"/>
          <w:szCs w:val="18"/>
        </w:rPr>
      </w:pPr>
      <w:r>
        <w:rPr>
          <w:rFonts w:hint="eastAsia"/>
          <w:sz w:val="18"/>
          <w:szCs w:val="18"/>
        </w:rPr>
        <w:t>3、认购</w:t>
      </w:r>
    </w:p>
    <w:p w14:paraId="7445C76C">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14:paraId="40B1A3FC">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14:paraId="07A858A6">
      <w:pPr>
        <w:adjustRightInd w:val="0"/>
        <w:snapToGrid w:val="0"/>
        <w:spacing w:line="286" w:lineRule="auto"/>
        <w:rPr>
          <w:sz w:val="18"/>
          <w:szCs w:val="18"/>
        </w:rPr>
      </w:pPr>
      <w:r>
        <w:rPr>
          <w:rFonts w:hint="eastAsia"/>
          <w:sz w:val="18"/>
          <w:szCs w:val="18"/>
        </w:rPr>
        <w:t>2）法律法规规定或监管机构认定的其他情形。</w:t>
      </w:r>
    </w:p>
    <w:p w14:paraId="460F5F1D">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14:paraId="25A0D692">
      <w:pPr>
        <w:adjustRightInd w:val="0"/>
        <w:snapToGrid w:val="0"/>
        <w:spacing w:line="286" w:lineRule="auto"/>
        <w:rPr>
          <w:sz w:val="18"/>
          <w:szCs w:val="18"/>
        </w:rPr>
      </w:pPr>
      <w:r>
        <w:rPr>
          <w:rFonts w:hint="eastAsia"/>
          <w:sz w:val="18"/>
          <w:szCs w:val="18"/>
        </w:rPr>
        <w:t>4、终止（包括到期终止、提前终止、延期终止）</w:t>
      </w:r>
    </w:p>
    <w:p w14:paraId="6062A82F">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2027年7月5日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14:paraId="280CD9C6">
      <w:pPr>
        <w:adjustRightInd w:val="0"/>
        <w:snapToGrid w:val="0"/>
        <w:spacing w:line="286" w:lineRule="auto"/>
        <w:rPr>
          <w:sz w:val="18"/>
          <w:szCs w:val="18"/>
        </w:rPr>
      </w:pPr>
      <w:r>
        <w:rPr>
          <w:rFonts w:hint="eastAsia"/>
          <w:sz w:val="18"/>
          <w:szCs w:val="18"/>
        </w:rPr>
        <w:t>5、相关费用</w:t>
      </w:r>
    </w:p>
    <w:p w14:paraId="7DF3218D">
      <w:pPr>
        <w:adjustRightInd w:val="0"/>
        <w:snapToGrid w:val="0"/>
        <w:spacing w:line="286" w:lineRule="auto"/>
        <w:rPr>
          <w:sz w:val="18"/>
          <w:szCs w:val="18"/>
        </w:rPr>
      </w:pPr>
      <w:r>
        <w:rPr>
          <w:rFonts w:hint="eastAsia"/>
          <w:sz w:val="18"/>
          <w:szCs w:val="18"/>
        </w:rPr>
        <w:t>（1）理财管理人的固定管理费</w:t>
      </w:r>
    </w:p>
    <w:p w14:paraId="562C66FC">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14:paraId="5D8710B7">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14:paraId="057141F8">
      <w:pPr>
        <w:adjustRightInd w:val="0"/>
        <w:snapToGrid w:val="0"/>
        <w:spacing w:line="286" w:lineRule="auto"/>
        <w:rPr>
          <w:sz w:val="18"/>
          <w:szCs w:val="18"/>
        </w:rPr>
      </w:pPr>
      <w:r>
        <w:rPr>
          <w:rFonts w:hint="eastAsia"/>
          <w:sz w:val="18"/>
          <w:szCs w:val="18"/>
        </w:rPr>
        <w:t>H＝E×固定管理费率÷365</w:t>
      </w:r>
    </w:p>
    <w:p w14:paraId="7206ECA0">
      <w:pPr>
        <w:adjustRightInd w:val="0"/>
        <w:snapToGrid w:val="0"/>
        <w:spacing w:line="286" w:lineRule="auto"/>
        <w:rPr>
          <w:sz w:val="18"/>
          <w:szCs w:val="18"/>
        </w:rPr>
      </w:pPr>
      <w:r>
        <w:rPr>
          <w:rFonts w:hint="eastAsia"/>
          <w:sz w:val="18"/>
          <w:szCs w:val="18"/>
        </w:rPr>
        <w:t>H为每日应计提的固定管理费</w:t>
      </w:r>
    </w:p>
    <w:p w14:paraId="094C4BB2">
      <w:pPr>
        <w:adjustRightInd w:val="0"/>
        <w:snapToGrid w:val="0"/>
        <w:spacing w:line="286" w:lineRule="auto"/>
        <w:rPr>
          <w:sz w:val="18"/>
          <w:szCs w:val="18"/>
        </w:rPr>
      </w:pPr>
      <w:r>
        <w:rPr>
          <w:rFonts w:hint="eastAsia"/>
          <w:sz w:val="18"/>
          <w:szCs w:val="18"/>
        </w:rPr>
        <w:t>E为本计划前一日资产净值</w:t>
      </w:r>
    </w:p>
    <w:p w14:paraId="61EDDB31">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14:paraId="1BEF5749">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14:paraId="302046F5">
      <w:pPr>
        <w:adjustRightInd w:val="0"/>
        <w:snapToGrid w:val="0"/>
        <w:spacing w:line="286" w:lineRule="auto"/>
        <w:rPr>
          <w:sz w:val="18"/>
          <w:szCs w:val="18"/>
        </w:rPr>
      </w:pPr>
      <w:r>
        <w:rPr>
          <w:rFonts w:hint="eastAsia"/>
          <w:sz w:val="18"/>
          <w:szCs w:val="18"/>
        </w:rPr>
        <w:t>（2）理财托管人的托管费</w:t>
      </w:r>
    </w:p>
    <w:p w14:paraId="778AEE08">
      <w:pPr>
        <w:adjustRightInd w:val="0"/>
        <w:snapToGrid w:val="0"/>
        <w:spacing w:line="286" w:lineRule="auto"/>
        <w:rPr>
          <w:sz w:val="18"/>
          <w:szCs w:val="18"/>
        </w:rPr>
      </w:pPr>
      <w:r>
        <w:rPr>
          <w:rFonts w:hint="eastAsia"/>
          <w:sz w:val="18"/>
          <w:szCs w:val="18"/>
        </w:rPr>
        <w:t>理财计划财产的年托管费率为0.005%，计算方法如下：</w:t>
      </w:r>
    </w:p>
    <w:p w14:paraId="56AC83FF">
      <w:pPr>
        <w:adjustRightInd w:val="0"/>
        <w:snapToGrid w:val="0"/>
        <w:spacing w:line="286" w:lineRule="auto"/>
        <w:rPr>
          <w:sz w:val="18"/>
          <w:szCs w:val="18"/>
        </w:rPr>
      </w:pPr>
      <w:r>
        <w:rPr>
          <w:rFonts w:hint="eastAsia"/>
          <w:sz w:val="18"/>
          <w:szCs w:val="18"/>
        </w:rPr>
        <w:t>H＝E×0.005％÷365</w:t>
      </w:r>
    </w:p>
    <w:p w14:paraId="311F5985">
      <w:pPr>
        <w:adjustRightInd w:val="0"/>
        <w:snapToGrid w:val="0"/>
        <w:spacing w:line="286" w:lineRule="auto"/>
        <w:rPr>
          <w:sz w:val="18"/>
          <w:szCs w:val="18"/>
        </w:rPr>
      </w:pPr>
      <w:r>
        <w:rPr>
          <w:rFonts w:hint="eastAsia"/>
          <w:sz w:val="18"/>
          <w:szCs w:val="18"/>
        </w:rPr>
        <w:t>H为每日应计提的托管费</w:t>
      </w:r>
    </w:p>
    <w:p w14:paraId="56B32B57">
      <w:pPr>
        <w:adjustRightInd w:val="0"/>
        <w:snapToGrid w:val="0"/>
        <w:spacing w:line="286" w:lineRule="auto"/>
        <w:rPr>
          <w:sz w:val="18"/>
          <w:szCs w:val="18"/>
        </w:rPr>
      </w:pPr>
      <w:r>
        <w:rPr>
          <w:rFonts w:hint="eastAsia"/>
          <w:sz w:val="18"/>
          <w:szCs w:val="18"/>
        </w:rPr>
        <w:t>E为本计划前一日资产净值</w:t>
      </w:r>
    </w:p>
    <w:p w14:paraId="5C64891F">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14:paraId="37AA7879">
      <w:pPr>
        <w:adjustRightInd w:val="0"/>
        <w:snapToGrid w:val="0"/>
        <w:spacing w:line="286" w:lineRule="auto"/>
        <w:rPr>
          <w:sz w:val="18"/>
          <w:szCs w:val="18"/>
        </w:rPr>
      </w:pPr>
      <w:r>
        <w:rPr>
          <w:rFonts w:hint="eastAsia"/>
          <w:sz w:val="18"/>
          <w:szCs w:val="18"/>
        </w:rPr>
        <w:t>托管费原则上按日计提，逐日累计至到期日从理财计划财产中扣除。</w:t>
      </w:r>
    </w:p>
    <w:p w14:paraId="5A543045">
      <w:pPr>
        <w:adjustRightInd w:val="0"/>
        <w:snapToGrid w:val="0"/>
        <w:spacing w:line="286" w:lineRule="auto"/>
        <w:rPr>
          <w:sz w:val="18"/>
          <w:szCs w:val="18"/>
        </w:rPr>
      </w:pPr>
      <w:r>
        <w:rPr>
          <w:rFonts w:hint="eastAsia"/>
          <w:sz w:val="18"/>
          <w:szCs w:val="18"/>
        </w:rPr>
        <w:t>（3）浮动管理费</w:t>
      </w:r>
    </w:p>
    <w:p w14:paraId="19BA9EEC">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14:paraId="254807CF">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14:paraId="0E74B0B4">
      <w:pPr>
        <w:adjustRightInd w:val="0"/>
        <w:snapToGrid w:val="0"/>
        <w:spacing w:line="286" w:lineRule="auto"/>
        <w:rPr>
          <w:sz w:val="18"/>
          <w:szCs w:val="18"/>
        </w:rPr>
      </w:pPr>
      <w:r>
        <w:rPr>
          <w:rFonts w:hint="eastAsia"/>
          <w:sz w:val="18"/>
          <w:szCs w:val="18"/>
        </w:rPr>
        <w:t>6、投资者所得收益</w:t>
      </w:r>
    </w:p>
    <w:p w14:paraId="4EEEAF16">
      <w:pPr>
        <w:adjustRightInd w:val="0"/>
        <w:snapToGrid w:val="0"/>
        <w:spacing w:line="286" w:lineRule="auto"/>
        <w:rPr>
          <w:sz w:val="18"/>
          <w:szCs w:val="18"/>
        </w:rPr>
      </w:pPr>
      <w:r>
        <w:rPr>
          <w:rFonts w:hint="eastAsia"/>
          <w:sz w:val="18"/>
          <w:szCs w:val="18"/>
        </w:rPr>
        <w:t>（1）计算公式</w:t>
      </w:r>
    </w:p>
    <w:p w14:paraId="19E17B5D">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14:paraId="79E512A8">
      <w:pPr>
        <w:adjustRightInd w:val="0"/>
        <w:snapToGrid w:val="0"/>
        <w:spacing w:line="286" w:lineRule="auto"/>
        <w:rPr>
          <w:b/>
          <w:bCs/>
          <w:sz w:val="18"/>
          <w:szCs w:val="18"/>
        </w:rPr>
      </w:pPr>
      <w:r>
        <w:rPr>
          <w:rFonts w:hint="eastAsia"/>
          <w:b/>
          <w:bCs/>
          <w:sz w:val="18"/>
          <w:szCs w:val="18"/>
          <w:highlight w:val="none"/>
        </w:rPr>
        <w:t>（2）</w:t>
      </w:r>
      <w:r>
        <w:rPr>
          <w:rFonts w:hint="eastAsia"/>
          <w:b/>
          <w:bCs/>
          <w:sz w:val="18"/>
          <w:szCs w:val="18"/>
        </w:rPr>
        <w:t>计算示例</w:t>
      </w:r>
    </w:p>
    <w:p w14:paraId="0C212131">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14:paraId="4D6D8928">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以某客户投资100万元为例，购买时产品净值为1.00元，折算份额为1,000,000.00份,理财期限为601天。假设产品业绩比较基准为</w:t>
      </w:r>
      <w:r>
        <w:rPr>
          <w:rFonts w:hint="eastAsia"/>
          <w:sz w:val="18"/>
          <w:szCs w:val="18"/>
          <w:lang w:val="en-US" w:eastAsia="zh-CN"/>
        </w:rPr>
        <w:t>2.75</w:t>
      </w:r>
      <w:r>
        <w:rPr>
          <w:rFonts w:hint="eastAsia"/>
          <w:sz w:val="18"/>
          <w:szCs w:val="18"/>
        </w:rPr>
        <w:t>%。到期时扣除托管费、销售服务费、固定管理费及其他费用（如有）后，如产品净值为1.0</w:t>
      </w:r>
      <w:r>
        <w:rPr>
          <w:rFonts w:hint="eastAsia"/>
          <w:sz w:val="18"/>
          <w:szCs w:val="18"/>
          <w:lang w:val="en-US" w:eastAsia="zh-CN"/>
        </w:rPr>
        <w:t>48</w:t>
      </w:r>
      <w:r>
        <w:rPr>
          <w:rFonts w:hint="eastAsia"/>
          <w:sz w:val="18"/>
          <w:szCs w:val="18"/>
        </w:rPr>
        <w:t>，此时，(1.0</w:t>
      </w:r>
      <w:r>
        <w:rPr>
          <w:rFonts w:hint="eastAsia"/>
          <w:sz w:val="18"/>
          <w:szCs w:val="18"/>
          <w:lang w:val="en-US" w:eastAsia="zh-CN"/>
        </w:rPr>
        <w:t>48</w:t>
      </w:r>
      <w:r>
        <w:rPr>
          <w:rFonts w:hint="eastAsia"/>
          <w:sz w:val="18"/>
          <w:szCs w:val="18"/>
        </w:rPr>
        <w:t>/1.00-1)×365/601=</w:t>
      </w:r>
      <w:r>
        <w:rPr>
          <w:rFonts w:hint="eastAsia"/>
          <w:sz w:val="18"/>
          <w:szCs w:val="18"/>
          <w:lang w:val="en-US" w:eastAsia="zh-CN"/>
        </w:rPr>
        <w:t>2.92</w:t>
      </w:r>
      <w:r>
        <w:rPr>
          <w:rFonts w:hint="eastAsia"/>
          <w:sz w:val="18"/>
          <w:szCs w:val="18"/>
        </w:rPr>
        <w:t>%&gt;</w:t>
      </w:r>
      <w:r>
        <w:rPr>
          <w:rFonts w:hint="eastAsia"/>
          <w:sz w:val="18"/>
          <w:szCs w:val="18"/>
          <w:lang w:val="en-US" w:eastAsia="zh-CN"/>
        </w:rPr>
        <w:t>2.75</w:t>
      </w:r>
      <w:r>
        <w:rPr>
          <w:rFonts w:hint="eastAsia"/>
          <w:sz w:val="18"/>
          <w:szCs w:val="18"/>
        </w:rPr>
        <w:t>%，即投资收益超越业绩比较基准，则投资管理人对超过业绩比较基准部分收益收取浮动管理费，浮动管理费为：1,000,000.00×[1.</w:t>
      </w:r>
      <w:r>
        <w:rPr>
          <w:rFonts w:hint="eastAsia"/>
          <w:sz w:val="18"/>
          <w:szCs w:val="18"/>
          <w:lang w:val="en-US" w:eastAsia="zh-CN"/>
        </w:rPr>
        <w:t>048</w:t>
      </w:r>
      <w:r>
        <w:rPr>
          <w:rFonts w:hint="eastAsia"/>
          <w:sz w:val="18"/>
          <w:szCs w:val="18"/>
        </w:rPr>
        <w:t>-1.00×(1+</w:t>
      </w:r>
      <w:r>
        <w:rPr>
          <w:rFonts w:hint="eastAsia"/>
          <w:sz w:val="18"/>
          <w:szCs w:val="18"/>
          <w:lang w:val="en-US" w:eastAsia="zh-CN"/>
        </w:rPr>
        <w:t>2.75</w:t>
      </w:r>
      <w:r>
        <w:rPr>
          <w:rFonts w:hint="eastAsia"/>
          <w:sz w:val="18"/>
          <w:szCs w:val="18"/>
        </w:rPr>
        <w:t>%×601/365)]×80%=</w:t>
      </w:r>
      <w:r>
        <w:rPr>
          <w:rFonts w:hint="eastAsia"/>
          <w:sz w:val="18"/>
          <w:szCs w:val="18"/>
          <w:lang w:val="en-US" w:eastAsia="zh-CN"/>
        </w:rPr>
        <w:t>2175.34</w:t>
      </w:r>
      <w:r>
        <w:rPr>
          <w:rFonts w:hint="eastAsia"/>
          <w:sz w:val="18"/>
          <w:szCs w:val="18"/>
        </w:rPr>
        <w:t>（元）。扣除浮动管理费后，客户最终收益为：1,000,000.00×（1.0</w:t>
      </w:r>
      <w:r>
        <w:rPr>
          <w:rFonts w:hint="eastAsia"/>
          <w:sz w:val="18"/>
          <w:szCs w:val="18"/>
          <w:lang w:val="en-US" w:eastAsia="zh-CN"/>
        </w:rPr>
        <w:t>48</w:t>
      </w:r>
      <w:r>
        <w:rPr>
          <w:rFonts w:hint="eastAsia"/>
          <w:sz w:val="18"/>
          <w:szCs w:val="18"/>
        </w:rPr>
        <w:t>-1.00）-</w:t>
      </w:r>
      <w:r>
        <w:rPr>
          <w:rFonts w:hint="eastAsia"/>
          <w:sz w:val="18"/>
          <w:szCs w:val="18"/>
          <w:lang w:val="en-US" w:eastAsia="zh-CN"/>
        </w:rPr>
        <w:t>2175.34</w:t>
      </w:r>
      <w:r>
        <w:rPr>
          <w:rFonts w:hint="eastAsia"/>
          <w:sz w:val="18"/>
          <w:szCs w:val="18"/>
        </w:rPr>
        <w:t>=</w:t>
      </w:r>
      <w:r>
        <w:rPr>
          <w:rFonts w:hint="eastAsia"/>
          <w:sz w:val="18"/>
          <w:szCs w:val="18"/>
          <w:lang w:val="en-US" w:eastAsia="zh-CN"/>
        </w:rPr>
        <w:t>45824.66</w:t>
      </w:r>
      <w:r>
        <w:rPr>
          <w:rFonts w:hint="eastAsia"/>
          <w:sz w:val="18"/>
          <w:szCs w:val="18"/>
        </w:rPr>
        <w:t>（元），产品到期时，客户获得的实际收益相当于达到年化收益率水平为：</w:t>
      </w:r>
      <w:r>
        <w:rPr>
          <w:rFonts w:hint="eastAsia"/>
          <w:sz w:val="18"/>
          <w:szCs w:val="18"/>
          <w:lang w:val="en-US" w:eastAsia="zh-CN"/>
        </w:rPr>
        <w:t>45824.66</w:t>
      </w:r>
      <w:r>
        <w:rPr>
          <w:rFonts w:hint="eastAsia"/>
          <w:sz w:val="18"/>
          <w:szCs w:val="18"/>
        </w:rPr>
        <w:t>/1,000,000.00×365/601=</w:t>
      </w:r>
      <w:r>
        <w:rPr>
          <w:rFonts w:hint="eastAsia"/>
          <w:sz w:val="18"/>
          <w:szCs w:val="18"/>
          <w:lang w:val="en-US" w:eastAsia="zh-CN"/>
        </w:rPr>
        <w:t>2.78</w:t>
      </w:r>
      <w:r>
        <w:rPr>
          <w:rFonts w:hint="eastAsia"/>
          <w:sz w:val="18"/>
          <w:szCs w:val="18"/>
        </w:rPr>
        <w:t>%。</w:t>
      </w:r>
    </w:p>
    <w:p w14:paraId="76C44089">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14:paraId="1F800D2F">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以某客户投资100万元为例，购买时产品净值为1.00元，折算份额为1,000,000.00份,理财期限为601天。假设产品业绩比较基准为</w:t>
      </w:r>
      <w:r>
        <w:rPr>
          <w:rFonts w:hint="eastAsia"/>
          <w:sz w:val="18"/>
          <w:szCs w:val="18"/>
          <w:lang w:val="en-US" w:eastAsia="zh-CN"/>
        </w:rPr>
        <w:t>2.75</w:t>
      </w:r>
      <w:r>
        <w:rPr>
          <w:rFonts w:hint="eastAsia"/>
          <w:sz w:val="18"/>
          <w:szCs w:val="18"/>
        </w:rPr>
        <w:t>%。到期时扣除托管费、销售服务费、固定管理费及其他费用（如有）后，如产品净值为1.0</w:t>
      </w:r>
      <w:r>
        <w:rPr>
          <w:rFonts w:hint="eastAsia"/>
          <w:sz w:val="18"/>
          <w:szCs w:val="18"/>
          <w:lang w:val="en-US" w:eastAsia="zh-CN"/>
        </w:rPr>
        <w:t>4</w:t>
      </w:r>
      <w:r>
        <w:rPr>
          <w:rFonts w:hint="eastAsia"/>
          <w:sz w:val="18"/>
          <w:szCs w:val="18"/>
        </w:rPr>
        <w:t>，此时，(1.0</w:t>
      </w:r>
      <w:r>
        <w:rPr>
          <w:rFonts w:hint="eastAsia"/>
          <w:sz w:val="18"/>
          <w:szCs w:val="18"/>
          <w:lang w:val="en-US" w:eastAsia="zh-CN"/>
        </w:rPr>
        <w:t>4</w:t>
      </w:r>
      <w:r>
        <w:rPr>
          <w:rFonts w:hint="eastAsia"/>
          <w:sz w:val="18"/>
          <w:szCs w:val="18"/>
        </w:rPr>
        <w:t>/1.00-1)×365/601=</w:t>
      </w:r>
      <w:r>
        <w:rPr>
          <w:rFonts w:hint="eastAsia"/>
          <w:sz w:val="18"/>
          <w:szCs w:val="18"/>
          <w:lang w:val="en-US" w:eastAsia="zh-CN"/>
        </w:rPr>
        <w:t>2.43</w:t>
      </w:r>
      <w:r>
        <w:rPr>
          <w:rFonts w:hint="eastAsia"/>
          <w:sz w:val="18"/>
          <w:szCs w:val="18"/>
        </w:rPr>
        <w:t>%&lt;</w:t>
      </w:r>
      <w:r>
        <w:rPr>
          <w:rFonts w:hint="eastAsia"/>
          <w:sz w:val="18"/>
          <w:szCs w:val="18"/>
          <w:lang w:val="en-US" w:eastAsia="zh-CN"/>
        </w:rPr>
        <w:t>2.75</w:t>
      </w:r>
      <w:r>
        <w:rPr>
          <w:rFonts w:hint="eastAsia"/>
          <w:sz w:val="18"/>
          <w:szCs w:val="18"/>
        </w:rPr>
        <w:t>%，即投资收益未达到业绩比较基准，则投资管理人不收取浮动管理费，客户最终收益为：1,000,000.00×(1.0</w:t>
      </w:r>
      <w:r>
        <w:rPr>
          <w:rFonts w:hint="eastAsia"/>
          <w:sz w:val="18"/>
          <w:szCs w:val="18"/>
          <w:lang w:val="en-US" w:eastAsia="zh-CN"/>
        </w:rPr>
        <w:t>4</w:t>
      </w:r>
      <w:r>
        <w:rPr>
          <w:rFonts w:hint="eastAsia"/>
          <w:sz w:val="18"/>
          <w:szCs w:val="18"/>
        </w:rPr>
        <w:t>-1.00）=</w:t>
      </w:r>
      <w:r>
        <w:rPr>
          <w:rFonts w:hint="eastAsia"/>
          <w:sz w:val="18"/>
          <w:szCs w:val="18"/>
          <w:lang w:val="en-US" w:eastAsia="zh-CN"/>
        </w:rPr>
        <w:t>4</w:t>
      </w:r>
      <w:r>
        <w:rPr>
          <w:rFonts w:hint="eastAsia"/>
          <w:sz w:val="18"/>
          <w:szCs w:val="18"/>
        </w:rPr>
        <w:t>0000.00（元）。</w:t>
      </w:r>
    </w:p>
    <w:p w14:paraId="76F49D54">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14:paraId="52CE2FB3">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以某客户投资100万元为例，购买时产品净值为1.00元，折算份额为1,000,000.00份，理财期限为601天。假设产品业绩比较基准为</w:t>
      </w:r>
      <w:r>
        <w:rPr>
          <w:rFonts w:hint="eastAsia"/>
          <w:sz w:val="18"/>
          <w:szCs w:val="18"/>
          <w:lang w:val="en-US" w:eastAsia="zh-CN"/>
        </w:rPr>
        <w:t>2.75</w:t>
      </w:r>
      <w:bookmarkStart w:id="0" w:name="_GoBack"/>
      <w:bookmarkEnd w:id="0"/>
      <w:r>
        <w:rPr>
          <w:rFonts w:hint="eastAsia"/>
          <w:sz w:val="18"/>
          <w:szCs w:val="18"/>
        </w:rPr>
        <w:t>%，到期时扣除托管费、销售服务费、固定管理费及其他费用（如有）后，如产品净值为0.998，则投资管理人不收取浮动管理费，客户最终收益为：1,000,000.00×（0.998-1.00）=-2000.00（元）。</w:t>
      </w:r>
    </w:p>
    <w:p w14:paraId="56725F59">
      <w:pPr>
        <w:adjustRightInd w:val="0"/>
        <w:snapToGrid w:val="0"/>
        <w:spacing w:line="286" w:lineRule="auto"/>
        <w:rPr>
          <w:sz w:val="18"/>
          <w:szCs w:val="18"/>
        </w:rPr>
      </w:pPr>
      <w:r>
        <w:rPr>
          <w:rFonts w:hint="eastAsia"/>
          <w:sz w:val="18"/>
          <w:szCs w:val="18"/>
        </w:rPr>
        <w:t>7、本金及理财收益风险</w:t>
      </w:r>
    </w:p>
    <w:p w14:paraId="7D755906">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14:paraId="53336534">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14:paraId="1E655D15">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14:paraId="10F469D8">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14:paraId="18F718EE">
      <w:pPr>
        <w:adjustRightInd w:val="0"/>
        <w:snapToGrid w:val="0"/>
        <w:spacing w:line="286" w:lineRule="auto"/>
        <w:rPr>
          <w:sz w:val="18"/>
          <w:szCs w:val="18"/>
        </w:rPr>
      </w:pPr>
      <w:r>
        <w:rPr>
          <w:rFonts w:hint="eastAsia"/>
          <w:sz w:val="18"/>
          <w:szCs w:val="18"/>
        </w:rPr>
        <w:t>8、理财计划提前终止时投资者所得收益</w:t>
      </w:r>
    </w:p>
    <w:p w14:paraId="300D06CF">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14:paraId="21F66708">
      <w:pPr>
        <w:adjustRightInd w:val="0"/>
        <w:snapToGrid w:val="0"/>
        <w:spacing w:line="286" w:lineRule="auto"/>
        <w:rPr>
          <w:b/>
          <w:sz w:val="18"/>
          <w:szCs w:val="18"/>
        </w:rPr>
      </w:pPr>
      <w:r>
        <w:rPr>
          <w:rFonts w:hint="eastAsia"/>
          <w:b/>
          <w:sz w:val="18"/>
          <w:szCs w:val="18"/>
        </w:rPr>
        <w:t>本金及理财收益支付</w:t>
      </w:r>
    </w:p>
    <w:p w14:paraId="0EF1C16E">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14:paraId="65464BBE">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14:paraId="1B35C973">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14:paraId="072A3F45">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14:paraId="46A9292A">
      <w:pPr>
        <w:adjustRightInd w:val="0"/>
        <w:snapToGrid w:val="0"/>
        <w:spacing w:line="286" w:lineRule="auto"/>
        <w:rPr>
          <w:b/>
          <w:sz w:val="18"/>
          <w:szCs w:val="18"/>
        </w:rPr>
      </w:pPr>
      <w:r>
        <w:rPr>
          <w:rFonts w:hint="eastAsia"/>
          <w:b/>
          <w:sz w:val="18"/>
          <w:szCs w:val="18"/>
        </w:rPr>
        <w:t>税费规定</w:t>
      </w:r>
    </w:p>
    <w:p w14:paraId="2BCF5546">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14:paraId="4B5BDDAB">
      <w:pPr>
        <w:widowControl/>
        <w:adjustRightInd w:val="0"/>
        <w:snapToGrid w:val="0"/>
        <w:spacing w:line="286" w:lineRule="auto"/>
        <w:outlineLvl w:val="0"/>
        <w:rPr>
          <w:b/>
          <w:sz w:val="18"/>
          <w:szCs w:val="18"/>
        </w:rPr>
      </w:pPr>
      <w:r>
        <w:rPr>
          <w:rFonts w:hint="eastAsia"/>
          <w:b/>
          <w:sz w:val="18"/>
          <w:szCs w:val="18"/>
        </w:rPr>
        <w:t>风险提示</w:t>
      </w:r>
    </w:p>
    <w:p w14:paraId="6E2F056F">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14:paraId="4511F011">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兑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14:paraId="7F5CDAD2">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14:paraId="633F6DAE">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14:paraId="02B5A7F3">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14:paraId="1E8057D9">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14:paraId="28BEC55B">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14:paraId="59B97FEB">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14:paraId="7C4A1711">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14:paraId="4FA8B2FB">
      <w:pPr>
        <w:pStyle w:val="15"/>
        <w:adjustRightInd w:val="0"/>
        <w:snapToGrid w:val="0"/>
        <w:spacing w:line="286" w:lineRule="auto"/>
        <w:ind w:firstLine="0"/>
        <w:rPr>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14:paraId="1BECCDD5">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14:paraId="32B85F6F">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14:paraId="6351BB94">
      <w:pPr>
        <w:adjustRightInd w:val="0"/>
        <w:snapToGrid w:val="0"/>
        <w:spacing w:line="286" w:lineRule="auto"/>
        <w:rPr>
          <w:sz w:val="18"/>
          <w:szCs w:val="18"/>
        </w:rPr>
      </w:pPr>
      <w:r>
        <w:rPr>
          <w:rFonts w:hint="eastAsia" w:ascii="宋体" w:hAnsi="宋体"/>
          <w:b/>
          <w:sz w:val="18"/>
          <w:szCs w:val="18"/>
        </w:rPr>
        <w:t>风险监测和控制措施：</w:t>
      </w:r>
    </w:p>
    <w:p w14:paraId="38812251">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14:paraId="1EF66228">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14:paraId="581809DB">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14:paraId="1ABEB658">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14:paraId="2EF5C73E">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14:paraId="2CC1DB46">
      <w:pPr>
        <w:adjustRightInd w:val="0"/>
        <w:snapToGrid w:val="0"/>
        <w:spacing w:line="286" w:lineRule="auto"/>
        <w:rPr>
          <w:b/>
          <w:sz w:val="18"/>
          <w:szCs w:val="18"/>
        </w:rPr>
      </w:pPr>
      <w:r>
        <w:rPr>
          <w:rFonts w:hint="eastAsia"/>
          <w:b/>
          <w:sz w:val="18"/>
          <w:szCs w:val="18"/>
        </w:rPr>
        <w:t>信息公告</w:t>
      </w:r>
    </w:p>
    <w:p w14:paraId="4BC507BA">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14:paraId="1A0C14FD">
      <w:pPr>
        <w:adjustRightInd w:val="0"/>
        <w:snapToGrid w:val="0"/>
        <w:spacing w:line="286" w:lineRule="auto"/>
        <w:rPr>
          <w:sz w:val="18"/>
          <w:szCs w:val="18"/>
        </w:rPr>
      </w:pPr>
      <w:r>
        <w:rPr>
          <w:rFonts w:hint="eastAsia"/>
          <w:sz w:val="18"/>
          <w:szCs w:val="18"/>
        </w:rPr>
        <w:t>2、定期公告：</w:t>
      </w:r>
    </w:p>
    <w:p w14:paraId="4A608E53">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至少每季度向合格投资者披露理财产品的资产净值、份额净值和其他重要信息。</w:t>
      </w:r>
    </w:p>
    <w:p w14:paraId="56BC02B5">
      <w:pPr>
        <w:adjustRightInd w:val="0"/>
        <w:snapToGrid w:val="0"/>
        <w:spacing w:line="286" w:lineRule="auto"/>
        <w:rPr>
          <w:sz w:val="18"/>
          <w:szCs w:val="18"/>
        </w:rPr>
      </w:pPr>
      <w:r>
        <w:rPr>
          <w:rFonts w:hint="eastAsia"/>
          <w:sz w:val="18"/>
          <w:szCs w:val="18"/>
        </w:rPr>
        <w:t>3、临时性公告</w:t>
      </w:r>
    </w:p>
    <w:p w14:paraId="59580AAA">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14:paraId="5B52346A">
      <w:pPr>
        <w:adjustRightInd w:val="0"/>
        <w:snapToGrid w:val="0"/>
        <w:spacing w:line="286" w:lineRule="auto"/>
        <w:rPr>
          <w:b/>
          <w:sz w:val="18"/>
          <w:szCs w:val="18"/>
        </w:rPr>
      </w:pPr>
      <w:r>
        <w:rPr>
          <w:rFonts w:hint="eastAsia"/>
          <w:b/>
          <w:sz w:val="18"/>
          <w:szCs w:val="18"/>
        </w:rPr>
        <w:t>（2）管理人将在运用暂停认购、暂停理财产品估值等措施后，3个交易日内发布相关事项公告，说明运用相关措施的原因、拟采取的应对安排等。</w:t>
      </w:r>
    </w:p>
    <w:p w14:paraId="67615968">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14:paraId="0250E45F">
      <w:pPr>
        <w:adjustRightInd w:val="0"/>
        <w:snapToGrid w:val="0"/>
        <w:spacing w:line="286" w:lineRule="auto"/>
        <w:rPr>
          <w:sz w:val="18"/>
          <w:szCs w:val="18"/>
        </w:rPr>
      </w:pPr>
      <w:r>
        <w:rPr>
          <w:rFonts w:hint="eastAsia"/>
          <w:sz w:val="18"/>
          <w:szCs w:val="18"/>
        </w:rPr>
        <w:t>5、到期公告：</w:t>
      </w:r>
    </w:p>
    <w:p w14:paraId="7407AEF2">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14:paraId="41897F32">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14:paraId="522DBE3B">
      <w:pPr>
        <w:adjustRightInd w:val="0"/>
        <w:snapToGrid w:val="0"/>
        <w:spacing w:line="286" w:lineRule="auto"/>
        <w:rPr>
          <w:b/>
          <w:bCs/>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r>
        <w:rPr>
          <w:rFonts w:hint="eastAsia"/>
          <w:b/>
          <w:bCs/>
          <w:sz w:val="18"/>
          <w:szCs w:val="18"/>
        </w:rPr>
        <w:t>投资者信息管理</w:t>
      </w:r>
    </w:p>
    <w:p w14:paraId="2E338067">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14:paraId="76B0B556">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14:paraId="2937A28E">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14:paraId="1A67B613">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14:paraId="18B9771B">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14:paraId="4E10ECC4">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14:paraId="07CFF259">
      <w:pPr>
        <w:adjustRightInd w:val="0"/>
        <w:snapToGrid w:val="0"/>
        <w:spacing w:line="286" w:lineRule="auto"/>
        <w:rPr>
          <w:b/>
          <w:sz w:val="18"/>
          <w:szCs w:val="18"/>
        </w:rPr>
      </w:pPr>
      <w:r>
        <w:rPr>
          <w:rFonts w:hint="eastAsia"/>
          <w:b/>
          <w:sz w:val="18"/>
          <w:szCs w:val="18"/>
        </w:rPr>
        <w:t>产品认购</w:t>
      </w:r>
    </w:p>
    <w:p w14:paraId="7563AFCE">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14:paraId="0F86F796">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14:paraId="64C79B35">
      <w:pPr>
        <w:adjustRightInd w:val="0"/>
        <w:snapToGrid w:val="0"/>
        <w:spacing w:line="286" w:lineRule="auto"/>
        <w:rPr>
          <w:sz w:val="18"/>
          <w:szCs w:val="18"/>
        </w:rPr>
      </w:pPr>
      <w:r>
        <w:rPr>
          <w:sz w:val="18"/>
          <w:szCs w:val="18"/>
        </w:rPr>
        <w:t>3</w:t>
      </w:r>
      <w:r>
        <w:rPr>
          <w:rFonts w:hint="eastAsia"/>
          <w:sz w:val="18"/>
          <w:szCs w:val="18"/>
        </w:rPr>
        <w:t>、产品发行规模有限，售完即止。</w:t>
      </w:r>
    </w:p>
    <w:p w14:paraId="0DFA3890">
      <w:pPr>
        <w:adjustRightInd w:val="0"/>
        <w:snapToGrid w:val="0"/>
        <w:spacing w:line="286" w:lineRule="auto"/>
        <w:rPr>
          <w:sz w:val="18"/>
          <w:szCs w:val="18"/>
        </w:rPr>
      </w:pPr>
      <w:r>
        <w:rPr>
          <w:rFonts w:hint="eastAsia"/>
          <w:b/>
          <w:sz w:val="18"/>
          <w:szCs w:val="18"/>
        </w:rPr>
        <w:t>法律适用与争议解决</w:t>
      </w:r>
    </w:p>
    <w:p w14:paraId="29E85231">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14:paraId="3CBA6241">
      <w:pPr>
        <w:adjustRightInd w:val="0"/>
        <w:snapToGrid w:val="0"/>
        <w:spacing w:line="286" w:lineRule="auto"/>
        <w:rPr>
          <w:sz w:val="18"/>
          <w:szCs w:val="18"/>
        </w:rPr>
      </w:pPr>
      <w:r>
        <w:rPr>
          <w:rFonts w:hint="eastAsia"/>
          <w:sz w:val="18"/>
          <w:szCs w:val="18"/>
        </w:rPr>
        <w:t>2、争议解决</w:t>
      </w:r>
    </w:p>
    <w:p w14:paraId="1CD2AC30">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14:paraId="4B53A2BA">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14:paraId="68B91921">
      <w:pPr>
        <w:adjustRightInd w:val="0"/>
        <w:snapToGrid w:val="0"/>
        <w:spacing w:line="286" w:lineRule="auto"/>
        <w:rPr>
          <w:sz w:val="18"/>
          <w:szCs w:val="18"/>
        </w:rPr>
      </w:pPr>
      <w:r>
        <w:rPr>
          <w:rFonts w:hint="eastAsia"/>
          <w:sz w:val="18"/>
          <w:szCs w:val="18"/>
        </w:rPr>
        <w:t>（3）《温州银行“金鹿理财-臻享”</w:t>
      </w:r>
      <w:r>
        <w:rPr>
          <w:color w:val="000000"/>
          <w:sz w:val="18"/>
          <w:szCs w:val="18"/>
        </w:rPr>
        <w:t>25029</w:t>
      </w:r>
      <w:r>
        <w:rPr>
          <w:rFonts w:hint="eastAsia"/>
          <w:sz w:val="18"/>
          <w:szCs w:val="18"/>
        </w:rPr>
        <w:t>号银行理财计划风险揭示书》、《温州银行“金鹿理财”银行理财计划合约》和《温州银行理财产品投资者权益须知》等销售文件中的内容与本产品说明书不一致的，以本产品说明书约定的内容为准。</w:t>
      </w:r>
    </w:p>
    <w:p w14:paraId="008D3F09">
      <w:pPr>
        <w:spacing w:before="312" w:beforeLines="100" w:line="288" w:lineRule="auto"/>
        <w:rPr>
          <w:rFonts w:ascii="宋体" w:hAnsi="宋体"/>
          <w:szCs w:val="21"/>
        </w:rPr>
      </w:pPr>
      <w:r>
        <w:rPr>
          <w:rFonts w:hint="eastAsia" w:ascii="宋体" w:hAnsi="宋体"/>
          <w:szCs w:val="21"/>
        </w:rPr>
        <w:t xml:space="preserve">         投资者签章：                                 日期：</w:t>
      </w:r>
    </w:p>
    <w:p w14:paraId="164953A0">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EC7518">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14:paraId="17720BAD">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abstractNum w:abstractNumId="2">
    <w:nsid w:val="5803C2AC"/>
    <w:multiLevelType w:val="singleLevel"/>
    <w:tmpl w:val="5803C2AC"/>
    <w:lvl w:ilvl="0" w:tentative="0">
      <w:start w:val="2"/>
      <w:numFmt w:val="decimal"/>
      <w:suff w:val="nothing"/>
      <w:lvlText w:val="%1、"/>
      <w:lvlJc w:val="left"/>
    </w:lvl>
  </w:abstractNum>
  <w:num w:numId="1">
    <w:abstractNumId w:val="2"/>
  </w:num>
  <w:num w:numId="2">
    <w:abstractNumId w:val="1"/>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13AD7"/>
    <w:rsid w:val="0006060F"/>
    <w:rsid w:val="00063DCD"/>
    <w:rsid w:val="000B5991"/>
    <w:rsid w:val="000D5A76"/>
    <w:rsid w:val="001050EE"/>
    <w:rsid w:val="001834D6"/>
    <w:rsid w:val="00193A19"/>
    <w:rsid w:val="00331EA4"/>
    <w:rsid w:val="00383077"/>
    <w:rsid w:val="003E7B94"/>
    <w:rsid w:val="00494670"/>
    <w:rsid w:val="0058461F"/>
    <w:rsid w:val="005E2789"/>
    <w:rsid w:val="00631B29"/>
    <w:rsid w:val="00662231"/>
    <w:rsid w:val="006A096F"/>
    <w:rsid w:val="00741D14"/>
    <w:rsid w:val="0078088F"/>
    <w:rsid w:val="007A7805"/>
    <w:rsid w:val="007D7630"/>
    <w:rsid w:val="008441F8"/>
    <w:rsid w:val="008C55E5"/>
    <w:rsid w:val="009115E2"/>
    <w:rsid w:val="00923B87"/>
    <w:rsid w:val="00924C98"/>
    <w:rsid w:val="00935A09"/>
    <w:rsid w:val="009C49E3"/>
    <w:rsid w:val="009D7D58"/>
    <w:rsid w:val="00A05C84"/>
    <w:rsid w:val="00AE4CB5"/>
    <w:rsid w:val="00B61087"/>
    <w:rsid w:val="00BA60A0"/>
    <w:rsid w:val="00C15915"/>
    <w:rsid w:val="00C333D0"/>
    <w:rsid w:val="00D10292"/>
    <w:rsid w:val="00D71534"/>
    <w:rsid w:val="00E2610C"/>
    <w:rsid w:val="00F548A2"/>
    <w:rsid w:val="00F81FE4"/>
    <w:rsid w:val="00FE1D1B"/>
    <w:rsid w:val="00FE252F"/>
    <w:rsid w:val="00FF5DD6"/>
    <w:rsid w:val="020D5912"/>
    <w:rsid w:val="04523F21"/>
    <w:rsid w:val="060F0B1F"/>
    <w:rsid w:val="06794E05"/>
    <w:rsid w:val="08EF38EC"/>
    <w:rsid w:val="09B16F1F"/>
    <w:rsid w:val="0AC90772"/>
    <w:rsid w:val="0BCD4D32"/>
    <w:rsid w:val="0DA90DFA"/>
    <w:rsid w:val="0E1D1495"/>
    <w:rsid w:val="0ED95908"/>
    <w:rsid w:val="14DB549B"/>
    <w:rsid w:val="1835025E"/>
    <w:rsid w:val="190C6A15"/>
    <w:rsid w:val="1BB60D30"/>
    <w:rsid w:val="1C253B78"/>
    <w:rsid w:val="1DD91150"/>
    <w:rsid w:val="1FEFB915"/>
    <w:rsid w:val="20DB6550"/>
    <w:rsid w:val="22A04815"/>
    <w:rsid w:val="23535C37"/>
    <w:rsid w:val="26531D8B"/>
    <w:rsid w:val="26A745EE"/>
    <w:rsid w:val="275A751E"/>
    <w:rsid w:val="27697D3C"/>
    <w:rsid w:val="27EE5BCD"/>
    <w:rsid w:val="28DC3D9B"/>
    <w:rsid w:val="2AFF68BE"/>
    <w:rsid w:val="2D1D2B95"/>
    <w:rsid w:val="2D6F4CA6"/>
    <w:rsid w:val="2EB7637B"/>
    <w:rsid w:val="2F7E1AF7"/>
    <w:rsid w:val="2FE766C5"/>
    <w:rsid w:val="31025CB3"/>
    <w:rsid w:val="313A7139"/>
    <w:rsid w:val="31AC46DA"/>
    <w:rsid w:val="320C3990"/>
    <w:rsid w:val="34B74934"/>
    <w:rsid w:val="37B32A93"/>
    <w:rsid w:val="39766FF2"/>
    <w:rsid w:val="3A383CB2"/>
    <w:rsid w:val="3A6F613F"/>
    <w:rsid w:val="3ABF4707"/>
    <w:rsid w:val="3B46D2A4"/>
    <w:rsid w:val="3C5374EE"/>
    <w:rsid w:val="3D1B017D"/>
    <w:rsid w:val="3DAD3B7D"/>
    <w:rsid w:val="3F044FE7"/>
    <w:rsid w:val="3FFF1548"/>
    <w:rsid w:val="40C377CE"/>
    <w:rsid w:val="4146226E"/>
    <w:rsid w:val="41F448E9"/>
    <w:rsid w:val="43712A5A"/>
    <w:rsid w:val="43B64733"/>
    <w:rsid w:val="4409550D"/>
    <w:rsid w:val="44456C0A"/>
    <w:rsid w:val="4B794A3C"/>
    <w:rsid w:val="4BC63B4A"/>
    <w:rsid w:val="4D87712A"/>
    <w:rsid w:val="4EFE40C2"/>
    <w:rsid w:val="50BC0EEB"/>
    <w:rsid w:val="51123BFB"/>
    <w:rsid w:val="546F0E0A"/>
    <w:rsid w:val="54FC60AB"/>
    <w:rsid w:val="56AB5155"/>
    <w:rsid w:val="56AE78BD"/>
    <w:rsid w:val="58356C69"/>
    <w:rsid w:val="5A325674"/>
    <w:rsid w:val="5D0B2C53"/>
    <w:rsid w:val="5DD76B10"/>
    <w:rsid w:val="5E2E2B7F"/>
    <w:rsid w:val="5E53116C"/>
    <w:rsid w:val="5F4A6202"/>
    <w:rsid w:val="5FAF8ADF"/>
    <w:rsid w:val="608470BC"/>
    <w:rsid w:val="611808E0"/>
    <w:rsid w:val="61E21802"/>
    <w:rsid w:val="621362E3"/>
    <w:rsid w:val="621F1292"/>
    <w:rsid w:val="627B657A"/>
    <w:rsid w:val="636035E2"/>
    <w:rsid w:val="63DF9DEC"/>
    <w:rsid w:val="677663AB"/>
    <w:rsid w:val="6A140818"/>
    <w:rsid w:val="6D15771F"/>
    <w:rsid w:val="6E86063E"/>
    <w:rsid w:val="6EFF375B"/>
    <w:rsid w:val="6F0FDD9B"/>
    <w:rsid w:val="793D346A"/>
    <w:rsid w:val="7DAEFF8C"/>
    <w:rsid w:val="7DCD8CE5"/>
    <w:rsid w:val="7EF0A27F"/>
    <w:rsid w:val="7FFFB1D6"/>
    <w:rsid w:val="B93A49A3"/>
    <w:rsid w:val="BB2A8372"/>
    <w:rsid w:val="BEB19B29"/>
    <w:rsid w:val="DFE4B709"/>
    <w:rsid w:val="EF5F2DDB"/>
    <w:rsid w:val="F1EBD4A1"/>
    <w:rsid w:val="F5BBA72D"/>
    <w:rsid w:val="F5FFA0BF"/>
    <w:rsid w:val="F6EF9E8F"/>
    <w:rsid w:val="F7FB3357"/>
    <w:rsid w:val="FCFB4D9A"/>
    <w:rsid w:val="FF9F9463"/>
    <w:rsid w:val="FFB5E4B3"/>
    <w:rsid w:val="FFFBCA9F"/>
    <w:rsid w:val="FFFF15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unhideWhenUsed/>
    <w:qFormat/>
    <w:uiPriority w:val="99"/>
    <w:pPr>
      <w:jc w:val="left"/>
    </w:pPr>
  </w:style>
  <w:style w:type="paragraph" w:styleId="3">
    <w:name w:val="Plain Text"/>
    <w:basedOn w:val="1"/>
    <w:link w:val="11"/>
    <w:unhideWhenUsed/>
    <w:qFormat/>
    <w:uiPriority w:val="99"/>
    <w:rPr>
      <w:rFonts w:ascii="宋体" w:hAnsi="Courier New" w:cs="Courier New"/>
      <w:szCs w:val="21"/>
    </w:rPr>
  </w:style>
  <w:style w:type="paragraph" w:styleId="4">
    <w:name w:val="Balloon Text"/>
    <w:basedOn w:val="1"/>
    <w:link w:val="16"/>
    <w:semiHidden/>
    <w:unhideWhenUsed/>
    <w:qFormat/>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kern w:val="0"/>
      <w:sz w:val="18"/>
      <w:szCs w:val="18"/>
    </w:rPr>
  </w:style>
  <w:style w:type="paragraph" w:styleId="6">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styleId="10">
    <w:name w:val="annotation reference"/>
    <w:basedOn w:val="9"/>
    <w:semiHidden/>
    <w:unhideWhenUsed/>
    <w:qFormat/>
    <w:uiPriority w:val="99"/>
    <w:rPr>
      <w:sz w:val="21"/>
      <w:szCs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页脚 字符"/>
    <w:link w:val="5"/>
    <w:qFormat/>
    <w:uiPriority w:val="99"/>
    <w:rPr>
      <w:rFonts w:ascii="Calibri" w:hAnsi="Calibri" w:eastAsia="宋体" w:cs="Times New Roman"/>
      <w:kern w:val="0"/>
      <w:sz w:val="18"/>
      <w:szCs w:val="18"/>
    </w:rPr>
  </w:style>
  <w:style w:type="character" w:customStyle="1" w:styleId="13">
    <w:name w:val="页眉 字符"/>
    <w:link w:val="6"/>
    <w:qFormat/>
    <w:uiPriority w:val="99"/>
    <w:rPr>
      <w:kern w:val="2"/>
      <w:sz w:val="18"/>
      <w:szCs w:val="18"/>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5">
    <w:name w:val="List Paragraph"/>
    <w:basedOn w:val="1"/>
    <w:qFormat/>
    <w:uiPriority w:val="34"/>
    <w:pPr>
      <w:widowControl/>
      <w:ind w:firstLine="420"/>
    </w:pPr>
    <w:rPr>
      <w:rFonts w:cs="宋体"/>
      <w:kern w:val="0"/>
      <w:szCs w:val="21"/>
    </w:rPr>
  </w:style>
  <w:style w:type="character" w:customStyle="1" w:styleId="16">
    <w:name w:val="批注框文本 字符"/>
    <w:basedOn w:val="9"/>
    <w:link w:val="4"/>
    <w:semiHidden/>
    <w:qFormat/>
    <w:uiPriority w:val="99"/>
    <w:rPr>
      <w:kern w:val="2"/>
      <w:sz w:val="18"/>
      <w:szCs w:val="18"/>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10</Pages>
  <Words>13126</Words>
  <Characters>13690</Characters>
  <Lines>101</Lines>
  <Paragraphs>28</Paragraphs>
  <TotalTime>30</TotalTime>
  <ScaleCrop>false</ScaleCrop>
  <LinksUpToDate>false</LinksUpToDate>
  <CharactersWithSpaces>13984</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2022-03-12T07:10:00Z</dcterms:created>
  <dc:creator>陈浩</dc:creator>
  <cp:lastModifiedBy>大杰子啦</cp:lastModifiedBy>
  <cp:lastPrinted>2025-06-10T08:58:00Z</cp:lastPrinted>
  <dcterms:modified xsi:type="dcterms:W3CDTF">2025-10-31T02:59:07Z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53D395A62D6B99D3B434F8645F83C450_43</vt:lpwstr>
  </property>
  <property fmtid="{D5CDD505-2E9C-101B-9397-08002B2CF9AE}" pid="4" name="KSOTemplateDocerSaveRecord">
    <vt:lpwstr>eyJoZGlkIjoiOWFlMGRmNzM2NmMzYTA5NGU1NWRhNDhiYzdmNjdlMDYiLCJ1c2VySWQiOiIzOTQzMjAxMTgifQ==</vt:lpwstr>
  </property>
</Properties>
</file>