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19026号开放式净值型银行理财计划产品说明书》、《温州银行“金鹿理财-温盈”19026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2019年9月26日</w:t>
            </w:r>
            <w:r>
              <w:rPr>
                <w:rFonts w:hint="eastAsia"/>
                <w:sz w:val="18"/>
                <w:szCs w:val="18"/>
                <w:u w:val="single"/>
              </w:rPr>
              <w:t>至</w:t>
            </w:r>
            <w:r>
              <w:rPr>
                <w:rFonts w:hint="eastAsia"/>
                <w:color w:val="000000"/>
                <w:sz w:val="18"/>
                <w:szCs w:val="18"/>
                <w:u w:val="single"/>
                <w:lang w:val="en-US" w:eastAsia="zh-CN"/>
              </w:rPr>
              <w:t>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：本理财计划成立日为2019年10月9日，从成立日起，每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19026号开放式净值型银行理财计划风险揭示书》、《温州银行“金鹿理财”银行理财计划合约》、《温州银行“金鹿理财-温盈”19026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uGUmWhwYNiKG2jYOgIgFo+DAd0=" w:salt="kDhUsFI2tPQGYcWviftsT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3AA696F"/>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2025-10-31T04:22:58Z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