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25025</w:t>
      </w:r>
      <w:bookmarkStart w:id="0" w:name="_GoBack"/>
      <w:bookmarkEnd w:id="0"/>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25025</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25025</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25025</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25025</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25025</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25025</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C1092225000045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2025年11月14日</w:t>
            </w:r>
            <w:r>
              <w:rPr>
                <w:rFonts w:hint="eastAsia"/>
                <w:sz w:val="18"/>
                <w:u w:val="single"/>
              </w:rPr>
              <w:t>至</w:t>
            </w:r>
            <w:r>
              <w:rPr>
                <w:color w:val="000000"/>
                <w:sz w:val="18"/>
                <w:u w:val="single"/>
              </w:rPr>
              <w:t>2025年11月20日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2025年11月21日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2026年3月20日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2.35%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2.35%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2026年3月20日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%。到期时扣除托管费、销售服务费、固定管理费及其他费用（如有）后，如产品净值为1.008，此时，(1.008/1.00-1)×365/119=2.</w:t>
      </w:r>
      <w:r>
        <w:rPr>
          <w:rFonts w:hint="eastAsia"/>
          <w:sz w:val="18"/>
          <w:szCs w:val="18"/>
          <w:lang w:val="en-US" w:eastAsia="zh-CN"/>
        </w:rPr>
        <w:t>45</w:t>
      </w:r>
      <w:r>
        <w:rPr>
          <w:rFonts w:hint="eastAsia"/>
          <w:sz w:val="18"/>
          <w:szCs w:val="18"/>
        </w:rPr>
        <w:t>%&gt;2.</w:t>
      </w:r>
      <w:r>
        <w:rPr>
          <w:rFonts w:hint="eastAsia"/>
          <w:sz w:val="18"/>
          <w:szCs w:val="18"/>
          <w:lang w:val="en-US" w:eastAsia="zh-CN"/>
        </w:rPr>
        <w:t>35</w:t>
      </w:r>
      <w:r>
        <w:rPr>
          <w:rFonts w:hint="eastAsia"/>
          <w:sz w:val="18"/>
          <w:szCs w:val="18"/>
        </w:rPr>
        <w:t>%，即投资收益超越业绩比较基准，则投资管理人对超过业绩比较基准部分收益收取浮动管理费，浮动管理费为：1,000,000.00×[1.008-1.00×(1+2.</w:t>
      </w:r>
      <w:r>
        <w:rPr>
          <w:rFonts w:hint="eastAsia"/>
          <w:sz w:val="18"/>
          <w:szCs w:val="18"/>
          <w:lang w:val="en-US" w:eastAsia="zh-CN"/>
        </w:rPr>
        <w:t>35</w:t>
      </w:r>
      <w:r>
        <w:rPr>
          <w:rFonts w:hint="eastAsia"/>
          <w:sz w:val="18"/>
          <w:szCs w:val="18"/>
        </w:rPr>
        <w:t>%×119/365)]×80%=</w:t>
      </w:r>
      <w:r>
        <w:rPr>
          <w:rFonts w:hint="eastAsia"/>
          <w:sz w:val="18"/>
          <w:szCs w:val="18"/>
          <w:lang w:val="en-US" w:eastAsia="zh-CN"/>
        </w:rPr>
        <w:t>270.68</w:t>
      </w:r>
      <w:r>
        <w:rPr>
          <w:rFonts w:hint="eastAsia"/>
          <w:sz w:val="18"/>
          <w:szCs w:val="18"/>
        </w:rPr>
        <w:t>（元）。扣除浮动管理费后，客户最终收益为：1,000,000.00×（1.008-1.00）-</w:t>
      </w:r>
      <w:r>
        <w:rPr>
          <w:rFonts w:hint="eastAsia"/>
          <w:sz w:val="18"/>
          <w:szCs w:val="18"/>
          <w:lang w:val="en-US" w:eastAsia="zh-CN"/>
        </w:rPr>
        <w:t>270.68</w:t>
      </w:r>
      <w:r>
        <w:rPr>
          <w:rFonts w:hint="eastAsia"/>
          <w:sz w:val="18"/>
          <w:szCs w:val="18"/>
        </w:rPr>
        <w:t>=7</w:t>
      </w:r>
      <w:r>
        <w:rPr>
          <w:rFonts w:hint="eastAsia"/>
          <w:sz w:val="18"/>
          <w:szCs w:val="18"/>
          <w:lang w:val="en-US" w:eastAsia="zh-CN"/>
        </w:rPr>
        <w:t>729.32</w:t>
      </w:r>
      <w:r>
        <w:rPr>
          <w:rFonts w:hint="eastAsia"/>
          <w:sz w:val="18"/>
          <w:szCs w:val="18"/>
        </w:rPr>
        <w:t>（元），产品到期时，客户获得的实际收益相当于达到年化收益率水平为：7</w:t>
      </w:r>
      <w:r>
        <w:rPr>
          <w:rFonts w:hint="eastAsia"/>
          <w:sz w:val="18"/>
          <w:szCs w:val="18"/>
          <w:lang w:val="en-US" w:eastAsia="zh-CN"/>
        </w:rPr>
        <w:t>729.32</w:t>
      </w:r>
      <w:r>
        <w:rPr>
          <w:rFonts w:hint="eastAsia"/>
          <w:sz w:val="18"/>
          <w:szCs w:val="18"/>
        </w:rPr>
        <w:t>/1,000,000.00×365/119=2.</w:t>
      </w:r>
      <w:r>
        <w:rPr>
          <w:rFonts w:hint="eastAsia"/>
          <w:sz w:val="18"/>
          <w:szCs w:val="18"/>
          <w:lang w:val="en-US" w:eastAsia="zh-CN"/>
        </w:rPr>
        <w:t>37</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%。到期时扣除托管费、销售服务费、固定管理费及其他费用（如有）后，如产品净值为1.0075，此时，(1.0075/1.00-1)×365/119=2.30%&lt;2.</w:t>
      </w:r>
      <w:r>
        <w:rPr>
          <w:rFonts w:hint="eastAsia"/>
          <w:sz w:val="18"/>
          <w:szCs w:val="18"/>
          <w:lang w:val="en-US" w:eastAsia="zh-CN"/>
        </w:rPr>
        <w:t>35</w:t>
      </w:r>
      <w:r>
        <w:rPr>
          <w:rFonts w:hint="eastAsia"/>
          <w:sz w:val="18"/>
          <w:szCs w:val="18"/>
        </w:rPr>
        <w:t>%，即投资收益未达到业绩比较基准，则投资管理人不收取浮动管理费，客户最终收益为：1,000,000.00×(1.0075-1.00）=7500（元）。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25025</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0zciefnt8p/a9NxaWyRkvBgaewU=" w:salt="qcx8Bkji49SxKaFIIi6Va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0F0945"/>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2E73AC"/>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13529</Characters>
  <Lines>100</Lines>
  <Paragraphs>28</Paragraphs>
  <TotalTime>0</TotalTime>
  <ScaleCrop>false</ScaleCrop>
  <LinksUpToDate>false</LinksUpToDate>
  <CharactersWithSpaces>13824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2025-11-08T08:17:35Z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