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19027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19027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“金鹿理财-温盈”19027号开放式净值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19027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19027号开放式净值型银行理财计划产品说明书》、《温州银行“金鹿理财-温盈”19027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19027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温盈”19027号开放式净值型银行理财计划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19027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C1092219000453</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2019年10月10日</w:t>
            </w:r>
            <w:r>
              <w:rPr>
                <w:rFonts w:hint="eastAsia"/>
                <w:sz w:val="18"/>
                <w:szCs w:val="18"/>
                <w:u w:val="single"/>
              </w:rPr>
              <w:t>至</w:t>
            </w:r>
            <w:r>
              <w:rPr>
                <w:rFonts w:hint="eastAsia"/>
                <w:color w:val="000000"/>
                <w:sz w:val="18"/>
                <w:szCs w:val="18"/>
                <w:u w:val="single"/>
                <w:lang w:val="en-US" w:eastAsia="zh-CN"/>
              </w:rPr>
              <w:t>2019年10月15日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本理财计划成立日为2019年10月16日。温州银行有权根据实际募集情况选择产品提前成立，若温州银行采取以上措施，温州银行将就产品相应要素的调整事宜于提前成立日前的一个工作日在温州银行网站予以公告。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《温州银行“金鹿理财-温盈”19027号开放式净值型（第i期）银行理财计划开放认购（申购）申请书》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《温州银行“金鹿理财-温盈”19027号开放式净值型（第i期）银行理财计划开放认购（申购）申请书》。投资运作周期到期时，该周期内的资金收益情况根据所投资资产组合的实际运作情况确定。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：本理财计划成立日为2019年10月16日，从成立日起，每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本产品预计到期终止日为2029年10月16日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19027号开放式净值型银行理财计划风险揭示书》、《温州银行“金鹿理财”银行理财计划合约》、《温州银行“金鹿理财-温盈”19027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iqiGUIwDFMDwdDX3wAZbJk4+2u0=" w:salt="cr73Ev2oQ9rxeN/d7l+GR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7FAF3E29"/>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2025-11-22T15:23:51Z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