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19002号开放式净值型银行理财计划产品说明书》、《温州银行“金鹿理财-温盈”19002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2019年5月30日</w:t>
            </w:r>
            <w:r>
              <w:rPr>
                <w:rFonts w:hint="eastAsia"/>
                <w:sz w:val="18"/>
                <w:szCs w:val="18"/>
                <w:u w:val="single"/>
              </w:rPr>
              <w:t>至</w:t>
            </w:r>
            <w:r>
              <w:rPr>
                <w:rFonts w:hint="eastAsia"/>
                <w:color w:val="000000"/>
                <w:sz w:val="18"/>
                <w:szCs w:val="18"/>
                <w:u w:val="single"/>
                <w:lang w:val="en-US" w:eastAsia="zh-CN"/>
              </w:rPr>
              <w:t>2019年6月5日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：本理财计划成立日为2019年6月6日，从成立日起，每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本产品预计到期终止日为2029年6月6日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19002号开放式净值型银行理财计划风险揭示书》、《温州银行“金鹿理财”银行理财计划合约》、《温州银行“金鹿理财-温盈”19002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tpJmSbs4qpzlOtDuMp55uRaM2I=" w:salt="+z2DcaWA+t6WCcLHW6xt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8F85579"/>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2025-11-22T15:23:50Z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