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金鹿理财</w:t>
      </w:r>
      <w:r>
        <w:rPr>
          <w:rFonts w:hint="eastAsia" w:ascii="黑体" w:eastAsia="黑体"/>
          <w:sz w:val="30"/>
          <w:szCs w:val="30"/>
        </w:rPr>
        <w:t>-普惠季享”</w:t>
      </w:r>
      <w:r>
        <w:rPr>
          <w:rFonts w:ascii="黑体" w:eastAsia="黑体"/>
          <w:color w:val="000000"/>
          <w:sz w:val="30"/>
          <w:szCs w:val="30"/>
          <w:u w:val="single"/>
        </w:rPr>
        <w:t>25026</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金鹿理财</w:t>
      </w:r>
      <w:r>
        <w:rPr>
          <w:rFonts w:hint="eastAsia" w:ascii="宋体" w:hAnsi="宋体"/>
          <w:szCs w:val="21"/>
        </w:rPr>
        <w:t>-</w:t>
      </w:r>
      <w:r>
        <w:rPr>
          <w:rFonts w:hint="eastAsia"/>
          <w:szCs w:val="21"/>
        </w:rPr>
        <w:t>普惠季享”</w:t>
      </w:r>
      <w:r>
        <w:rPr>
          <w:color w:val="000000"/>
          <w:szCs w:val="21"/>
          <w:u w:val="single"/>
        </w:rPr>
        <w:t>25026</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金鹿理财</w:t>
      </w:r>
      <w:r>
        <w:rPr>
          <w:rFonts w:hint="eastAsia" w:ascii="宋体" w:hAnsi="宋体"/>
          <w:szCs w:val="21"/>
        </w:rPr>
        <w:t>-普惠季享”</w:t>
      </w:r>
      <w:r>
        <w:rPr>
          <w:rFonts w:ascii="宋体"/>
          <w:color w:val="000000"/>
          <w:szCs w:val="21"/>
          <w:u w:val="single"/>
        </w:rPr>
        <w:t>25026</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金鹿理财</w:t>
      </w:r>
      <w:r>
        <w:rPr>
          <w:rFonts w:hint="eastAsia" w:ascii="宋体" w:hAnsi="宋体"/>
          <w:szCs w:val="21"/>
        </w:rPr>
        <w:t>-普惠季享”</w:t>
      </w:r>
      <w:r>
        <w:rPr>
          <w:rFonts w:ascii="宋体"/>
          <w:color w:val="000000"/>
          <w:szCs w:val="21"/>
          <w:u w:val="single"/>
        </w:rPr>
        <w:t>25026</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金鹿理财</w:t>
      </w:r>
      <w:r>
        <w:rPr>
          <w:rFonts w:hint="eastAsia" w:ascii="黑体" w:eastAsia="黑体"/>
          <w:bCs/>
          <w:sz w:val="30"/>
          <w:szCs w:val="30"/>
        </w:rPr>
        <w:t>-普惠季享”</w:t>
      </w:r>
      <w:r>
        <w:rPr>
          <w:rFonts w:ascii="黑体" w:eastAsia="黑体"/>
          <w:color w:val="000000"/>
          <w:sz w:val="30"/>
          <w:szCs w:val="30"/>
          <w:u w:val="single"/>
        </w:rPr>
        <w:t>25026</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金鹿理财</w:t>
      </w:r>
      <w:r>
        <w:rPr>
          <w:rFonts w:hint="eastAsia" w:ascii="宋体" w:hAnsi="宋体"/>
          <w:sz w:val="18"/>
          <w:szCs w:val="18"/>
        </w:rPr>
        <w:t>-</w:t>
      </w:r>
      <w:r>
        <w:rPr>
          <w:rFonts w:hint="eastAsia"/>
          <w:sz w:val="18"/>
          <w:szCs w:val="18"/>
        </w:rPr>
        <w:t>普惠季享”</w:t>
      </w:r>
      <w:r>
        <w:rPr>
          <w:color w:val="000000"/>
          <w:sz w:val="18"/>
          <w:szCs w:val="18"/>
        </w:rPr>
        <w:t>25026</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金鹿理财</w:t>
            </w:r>
            <w:r>
              <w:rPr>
                <w:sz w:val="18"/>
                <w:szCs w:val="18"/>
              </w:rPr>
              <w:t>-</w:t>
            </w:r>
            <w:r>
              <w:rPr>
                <w:rFonts w:hint="eastAsia"/>
                <w:sz w:val="18"/>
                <w:szCs w:val="18"/>
              </w:rPr>
              <w:t>普惠季享</w:t>
            </w:r>
            <w:r>
              <w:rPr>
                <w:sz w:val="18"/>
                <w:szCs w:val="18"/>
              </w:rPr>
              <w:t>”</w:t>
            </w:r>
            <w:r>
              <w:rPr>
                <w:color w:val="000000"/>
                <w:sz w:val="18"/>
                <w:szCs w:val="18"/>
                <w:u w:val="single"/>
              </w:rPr>
              <w:t>25026</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JW2526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C1092225000043</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2025年11月24日</w:t>
            </w:r>
            <w:r>
              <w:rPr>
                <w:rFonts w:hint="eastAsia"/>
                <w:sz w:val="18"/>
                <w:u w:val="single"/>
              </w:rPr>
              <w:t>至</w:t>
            </w:r>
            <w:r>
              <w:rPr>
                <w:color w:val="000000"/>
                <w:sz w:val="18"/>
                <w:u w:val="single"/>
              </w:rPr>
              <w:t>2025年11月30日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2025年12月1日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2027年1月4日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2.60%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本产品业绩比较基准为2.60%（年化）。本产品业绩比较基准仅作为计提产品浮动管理费的依据，不构成温州银行对该理财产品的任何收益承诺。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2027年1月4日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2.6%。到期时扣除托管费、销售服务费、固定管理费及其他费用（如有）后，如产品净值为1.03，此时， (1.03/1.00-1)×365/399=2.74%&gt;2.6%，即投资收益超越业绩比较基准，则投资管理人对超过业绩比较基准部分收益收取浮动管理费，浮动管理费为：1,000,000.00×[1.03-1.00×(1+2.6%×399/365)]×80%=</w:t>
      </w:r>
      <w:r>
        <w:rPr>
          <w:rFonts w:hint="eastAsia"/>
          <w:sz w:val="18"/>
          <w:szCs w:val="18"/>
          <w:lang w:val="en-US" w:eastAsia="zh-CN"/>
        </w:rPr>
        <w:t>1262.47</w:t>
      </w:r>
      <w:r>
        <w:rPr>
          <w:rFonts w:hint="eastAsia"/>
          <w:sz w:val="18"/>
          <w:szCs w:val="18"/>
        </w:rPr>
        <w:t>（元）。扣除浮动管理费后，客户最终收益为：1,000,000.00×（1.03-1.00）-</w:t>
      </w:r>
      <w:r>
        <w:rPr>
          <w:rFonts w:hint="eastAsia"/>
          <w:sz w:val="18"/>
          <w:szCs w:val="18"/>
          <w:lang w:val="en-US" w:eastAsia="zh-CN"/>
        </w:rPr>
        <w:t>1262.47</w:t>
      </w:r>
      <w:r>
        <w:rPr>
          <w:rFonts w:hint="eastAsia"/>
          <w:sz w:val="18"/>
          <w:szCs w:val="18"/>
        </w:rPr>
        <w:t>=2</w:t>
      </w:r>
      <w:r>
        <w:rPr>
          <w:rFonts w:hint="eastAsia"/>
          <w:sz w:val="18"/>
          <w:szCs w:val="18"/>
          <w:lang w:val="en-US" w:eastAsia="zh-CN"/>
        </w:rPr>
        <w:t>8737.53</w:t>
      </w:r>
      <w:r>
        <w:rPr>
          <w:rFonts w:hint="eastAsia"/>
          <w:sz w:val="18"/>
          <w:szCs w:val="18"/>
        </w:rPr>
        <w:t>（元），产品到期时，客户获得的实际收益相当于达到年化收益率水平为：2</w:t>
      </w:r>
      <w:r>
        <w:rPr>
          <w:rFonts w:hint="eastAsia"/>
          <w:sz w:val="18"/>
          <w:szCs w:val="18"/>
          <w:lang w:val="en-US" w:eastAsia="zh-CN"/>
        </w:rPr>
        <w:t>8737.53</w:t>
      </w:r>
      <w:r>
        <w:rPr>
          <w:rFonts w:hint="eastAsia"/>
          <w:sz w:val="18"/>
          <w:szCs w:val="18"/>
        </w:rPr>
        <w:t>/1,000,000.00×365/399=2.6</w:t>
      </w:r>
      <w:r>
        <w:rPr>
          <w:rFonts w:hint="eastAsia"/>
          <w:sz w:val="18"/>
          <w:szCs w:val="18"/>
          <w:lang w:val="en-US" w:eastAsia="zh-CN"/>
        </w:rPr>
        <w:t>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2.6%。到期时扣除托管费、销售服务费、固定管理费及其他费用（如有）后，如产品净值为1.027，此时，(1.027/1.00-1)×365/399=2.47%&lt;2.6%，即投资收益未达到业绩比较基准，则投资管理人不收取浮动管理费，客户最终收益为：1,000,000.00×(1.027-1.00）=27000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2.6%，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金鹿理财</w:t>
      </w:r>
      <w:r>
        <w:rPr>
          <w:rFonts w:hint="eastAsia"/>
          <w:sz w:val="18"/>
          <w:szCs w:val="18"/>
        </w:rPr>
        <w:t>-普惠季享”</w:t>
      </w:r>
      <w:r>
        <w:rPr>
          <w:color w:val="000000"/>
          <w:sz w:val="18"/>
          <w:szCs w:val="18"/>
        </w:rPr>
        <w:t>25026</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AsqghKt/3LEGAl0LlK56xkkquMc=" w:salt="EsHcpqAUNNQmUS2coGcDk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591C28"/>
    <w:rsid w:val="104F44D5"/>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49749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8468B1"/>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611AC5"/>
    <w:rsid w:val="5F751704"/>
    <w:rsid w:val="61E21802"/>
    <w:rsid w:val="623D1E92"/>
    <w:rsid w:val="627B657A"/>
    <w:rsid w:val="63F70027"/>
    <w:rsid w:val="6522045B"/>
    <w:rsid w:val="67DC31E6"/>
    <w:rsid w:val="68785140"/>
    <w:rsid w:val="693E0188"/>
    <w:rsid w:val="699C4EA7"/>
    <w:rsid w:val="6D15771F"/>
    <w:rsid w:val="6E3D3C47"/>
    <w:rsid w:val="6F291A04"/>
    <w:rsid w:val="729A0DAC"/>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12890</Words>
  <Characters>13456</Characters>
  <Lines>100</Lines>
  <Paragraphs>28</Paragraphs>
  <TotalTime>0</TotalTime>
  <ScaleCrop>false</ScaleCrop>
  <LinksUpToDate>false</LinksUpToDate>
  <CharactersWithSpaces>13751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Admin</cp:lastModifiedBy>
  <dcterms:modified xsi:type="dcterms:W3CDTF">2025-11-22T15:22:38Z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