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19035号开放式净值型银行理财计划产品说明书》、《温州银行“金鹿理财-温盈”19035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2019年11月7日</w:t>
            </w:r>
            <w:r>
              <w:rPr>
                <w:rFonts w:hint="eastAsia"/>
                <w:sz w:val="18"/>
                <w:szCs w:val="18"/>
                <w:u w:val="single"/>
              </w:rPr>
              <w:t>至</w:t>
            </w:r>
            <w:r>
              <w:rPr>
                <w:rFonts w:hint="eastAsia"/>
                <w:color w:val="000000"/>
                <w:sz w:val="18"/>
                <w:szCs w:val="18"/>
                <w:u w:val="single"/>
                <w:lang w:val="en-US" w:eastAsia="zh-CN"/>
              </w:rPr>
              <w:t>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：本理财计划成立日为2019年11月13日，从成立日起，每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19035号开放式净值型银行理财计划风险揭示书》、《温州银行“金鹿理财”银行理财计划合约》、《温州银行“金鹿理财-温盈”19035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FrA4lp37ePOnjN0vSk3dH8IVJk=" w:salt="FzOsyFOaxCfp+Ux1brAoQ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15704FD"/>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2025-12-12T08:25:20Z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