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19034号开放式净值型银行理财计划产品说明书》、《温州银行“金鹿理财-温盈”19034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2019年11月7日</w:t>
            </w:r>
            <w:r>
              <w:rPr>
                <w:rFonts w:hint="eastAsia"/>
                <w:sz w:val="18"/>
                <w:szCs w:val="18"/>
                <w:u w:val="single"/>
              </w:rPr>
              <w:t>至</w:t>
            </w:r>
            <w:r>
              <w:rPr>
                <w:rFonts w:hint="eastAsia"/>
                <w:color w:val="000000"/>
                <w:sz w:val="18"/>
                <w:szCs w:val="18"/>
                <w:u w:val="single"/>
                <w:lang w:val="en-US" w:eastAsia="zh-CN"/>
              </w:rPr>
              <w:t>2019年11月12日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：本理财计划成立日为2019年11月13日，从成立日起，每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本产品预计到期终止日为2029年11月13日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19034号开放式净值型银行理财计划风险揭示书》、《温州银行“金鹿理财”银行理财计划合约》、《温州银行“金鹿理财-温盈”19034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TzPikvBsO2CBMzqrBamH18EfmQ=" w:salt="NxX+RQ1rUGIHincC0nI4V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3D599F"/>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User</cp:lastModifiedBy>
  <cp:lastPrinted>2016-09-02T23:01:00Z</cp:lastPrinted>
  <dcterms:modified xsi:type="dcterms:W3CDTF">2025-12-20T05:40:17Z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