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19036号开放式净值型银行理财计划产品说明书》、《温州银行“金鹿理财-温盈”19036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2019年11月14日</w:t>
            </w:r>
            <w:r>
              <w:rPr>
                <w:rFonts w:hint="eastAsia"/>
                <w:sz w:val="18"/>
                <w:szCs w:val="18"/>
                <w:u w:val="single"/>
              </w:rPr>
              <w:t>至</w:t>
            </w:r>
            <w:r>
              <w:rPr>
                <w:rFonts w:hint="eastAsia"/>
                <w:color w:val="000000"/>
                <w:sz w:val="18"/>
                <w:szCs w:val="18"/>
                <w:u w:val="single"/>
                <w:lang w:val="en-US" w:eastAsia="zh-CN"/>
              </w:rPr>
              <w:t>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19036号开放式净值型银行理财计划风险揭示书》、《温州银行“金鹿理财”银行理财计划合约》、《温州银行“金鹿理财-温盈”19036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KiBBbOcZEPN2OKwPZi8FK7XZCE=" w:salt="fXL/5s/3Hzd6ikHVpdLh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82617E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2025-12-26T09:21:50Z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