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19038</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19038号开放式净值型银行理财计划产品说明书》、《温州银行“金鹿理财-温盈”19038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19038</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温盈”19038号开放式净值型银行理财计划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19038</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YJ1038</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C1092219000464</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2019年11月21日</w:t>
            </w:r>
            <w:r>
              <w:rPr>
                <w:rFonts w:hint="eastAsia"/>
                <w:sz w:val="18"/>
                <w:szCs w:val="18"/>
                <w:u w:val="single"/>
              </w:rPr>
              <w:t>至</w:t>
            </w:r>
            <w:r>
              <w:rPr>
                <w:rFonts w:hint="eastAsia"/>
                <w:color w:val="000000"/>
                <w:sz w:val="18"/>
                <w:szCs w:val="18"/>
                <w:u w:val="single"/>
                <w:lang w:val="en-US" w:eastAsia="zh-CN"/>
              </w:rPr>
              <w:t>2019年11月26日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《温州银行“金鹿理财-温盈”19038号开放式净值型（第i期）银行理财计划开放认购（申购）申请书》。投资运作周期到期时，该周期内的资金收益情况根据所投资资产组合的实际运作情况确定。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：本理财计划成立日为2019年11月27日，从成立日起，每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本产品预计到期终止日为2029年11月27日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19038号开放式净值型银行理财计划风险揭示书》、《温州银行“金鹿理财”银行理财计划合约》、《温州银行“金鹿理财-温盈”19038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2025-07-24T08:44:00Z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