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bookmarkStart w:id="0" w:name="_GoBack"/>
      <w:bookmarkEnd w:id="0"/>
      <w:r>
        <w:rPr>
          <w:rFonts w:hint="eastAsia" w:ascii="黑体" w:eastAsia="黑体"/>
          <w:sz w:val="30"/>
          <w:szCs w:val="30"/>
        </w:rPr>
        <w:t>温州银行“</w:t>
      </w:r>
      <w:r>
        <w:rPr>
          <w:rFonts w:hint="eastAsia" w:ascii="黑体" w:eastAsia="黑体"/>
          <w:sz w:val="30"/>
          <w:szCs w:val="30"/>
          <w:lang w:eastAsia="zh-CN"/>
        </w:rPr>
        <w:t>金鹿理财</w:t>
      </w:r>
      <w:r>
        <w:rPr>
          <w:rFonts w:hint="eastAsia" w:ascii="黑体" w:eastAsia="黑体"/>
          <w:sz w:val="30"/>
          <w:szCs w:val="30"/>
        </w:rPr>
        <w:t>-普惠季享”</w:t>
      </w:r>
      <w:r>
        <w:rPr>
          <w:rFonts w:ascii="黑体" w:eastAsia="黑体"/>
          <w:color w:val="000000"/>
          <w:sz w:val="30"/>
          <w:szCs w:val="30"/>
          <w:u w:val="single"/>
        </w:rPr>
        <w:t>25030</w:t>
      </w:r>
      <w:r>
        <w:rPr>
          <w:rFonts w:hint="eastAsia" w:ascii="黑体" w:eastAsia="黑体"/>
          <w:sz w:val="30"/>
          <w:szCs w:val="30"/>
        </w:rPr>
        <w:t>号（稳健低波款）银行理财计划风险揭示书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w:t>
      </w:r>
      <w:r>
        <w:rPr>
          <w:rFonts w:hint="eastAsia"/>
          <w:szCs w:val="21"/>
          <w:lang w:eastAsia="zh-CN"/>
        </w:rPr>
        <w:t>金鹿理财</w:t>
      </w:r>
      <w:r>
        <w:rPr>
          <w:rFonts w:hint="eastAsia" w:ascii="宋体" w:hAnsi="宋体"/>
          <w:szCs w:val="21"/>
        </w:rPr>
        <w:t>-</w:t>
      </w:r>
      <w:r>
        <w:rPr>
          <w:rFonts w:hint="eastAsia"/>
          <w:szCs w:val="21"/>
        </w:rPr>
        <w:t>普惠季享”</w:t>
      </w:r>
      <w:r>
        <w:rPr>
          <w:color w:val="000000"/>
          <w:szCs w:val="21"/>
          <w:u w:val="single"/>
        </w:rPr>
        <w:t>25030</w:t>
      </w:r>
      <w:r>
        <w:rPr>
          <w:rFonts w:hint="eastAsia"/>
          <w:szCs w:val="21"/>
        </w:rPr>
        <w:t>号（稳健低波款）银行理财计划，投资类型属于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color w:val="000000"/>
          <w:szCs w:val="21"/>
          <w:u w:val="single"/>
          <w:lang w:val="en-US" w:eastAsia="zh-CN"/>
        </w:rPr>
        <w:t>399</w:t>
      </w:r>
      <w:r>
        <w:rPr>
          <w:rFonts w:hint="eastAsia"/>
          <w:szCs w:val="21"/>
        </w:rPr>
        <w:t>天，本产品客户无提前赎回权。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本理财产品适合客户：经温州银行评估为稳健型、平衡型、进取型、激进型的新签约个人投资者或定向邀约的客户群体。</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w:t>
      </w:r>
      <w:r>
        <w:rPr>
          <w:rFonts w:hint="eastAsia" w:ascii="宋体" w:hAnsi="宋体"/>
          <w:szCs w:val="21"/>
          <w:lang w:eastAsia="zh-CN"/>
        </w:rPr>
        <w:t>金鹿理财</w:t>
      </w:r>
      <w:r>
        <w:rPr>
          <w:rFonts w:hint="eastAsia" w:ascii="宋体" w:hAnsi="宋体"/>
          <w:szCs w:val="21"/>
        </w:rPr>
        <w:t>-普惠季享”</w:t>
      </w:r>
      <w:r>
        <w:rPr>
          <w:rFonts w:ascii="宋体"/>
          <w:color w:val="000000"/>
          <w:szCs w:val="21"/>
          <w:u w:val="single"/>
        </w:rPr>
        <w:t>25030</w:t>
      </w:r>
      <w:r>
        <w:rPr>
          <w:rFonts w:hint="eastAsia" w:ascii="宋体" w:hAnsi="宋体"/>
          <w:szCs w:val="21"/>
        </w:rPr>
        <w:t>号</w:t>
      </w:r>
      <w:r>
        <w:rPr>
          <w:rFonts w:hint="eastAsia"/>
          <w:szCs w:val="21"/>
        </w:rPr>
        <w:t>（稳健低波款）</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w:t>
      </w:r>
      <w:r>
        <w:rPr>
          <w:rFonts w:hint="eastAsia" w:ascii="宋体" w:hAnsi="宋体"/>
          <w:szCs w:val="21"/>
          <w:lang w:val="en-US" w:eastAsia="zh-CN"/>
        </w:rPr>
        <w:t>金鹿</w:t>
      </w:r>
      <w:r>
        <w:rPr>
          <w:rFonts w:hint="eastAsia" w:ascii="宋体" w:hAnsi="宋体"/>
          <w:szCs w:val="21"/>
          <w:lang w:eastAsia="zh-CN"/>
        </w:rPr>
        <w:t>理财</w:t>
      </w:r>
      <w:r>
        <w:rPr>
          <w:rFonts w:hint="eastAsia" w:ascii="宋体" w:hAnsi="宋体"/>
          <w:szCs w:val="21"/>
        </w:rPr>
        <w:t>”银行理财计划合约》、《温州银行“</w:t>
      </w:r>
      <w:r>
        <w:rPr>
          <w:rFonts w:hint="eastAsia" w:ascii="宋体" w:hAnsi="宋体"/>
          <w:szCs w:val="21"/>
          <w:lang w:eastAsia="zh-CN"/>
        </w:rPr>
        <w:t>金鹿理财</w:t>
      </w:r>
      <w:r>
        <w:rPr>
          <w:rFonts w:hint="eastAsia" w:ascii="宋体" w:hAnsi="宋体"/>
          <w:szCs w:val="21"/>
        </w:rPr>
        <w:t>-普惠季享”</w:t>
      </w:r>
      <w:r>
        <w:rPr>
          <w:rFonts w:ascii="宋体"/>
          <w:color w:val="000000"/>
          <w:szCs w:val="21"/>
          <w:u w:val="single"/>
        </w:rPr>
        <w:t>25030</w:t>
      </w:r>
      <w:r>
        <w:rPr>
          <w:rFonts w:hint="eastAsia" w:ascii="宋体" w:hAnsi="宋体"/>
          <w:szCs w:val="21"/>
        </w:rPr>
        <w:t>号</w:t>
      </w:r>
      <w:r>
        <w:rPr>
          <w:rFonts w:hint="eastAsia"/>
          <w:szCs w:val="21"/>
        </w:rPr>
        <w:t>（稳健低波款）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ind w:firstLine="840" w:firstLineChars="400"/>
        <w:rPr>
          <w:rFonts w:ascii="宋体" w:hAnsi="宋体"/>
          <w:szCs w:val="21"/>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6"/>
        <w:adjustRightInd w:val="0"/>
        <w:snapToGrid w:val="0"/>
        <w:spacing w:before="0" w:beforeAutospacing="0" w:after="0" w:afterAutospacing="0" w:line="360" w:lineRule="auto"/>
        <w:jc w:val="center"/>
        <w:rPr>
          <w:rFonts w:ascii="黑体" w:eastAsia="黑体"/>
          <w:bCs/>
          <w:sz w:val="30"/>
          <w:szCs w:val="30"/>
        </w:rPr>
      </w:pP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w:t>
      </w:r>
      <w:r>
        <w:rPr>
          <w:rFonts w:hint="eastAsia" w:ascii="黑体" w:eastAsia="黑体"/>
          <w:bCs/>
          <w:sz w:val="30"/>
          <w:szCs w:val="30"/>
          <w:lang w:eastAsia="zh-CN"/>
        </w:rPr>
        <w:t>金鹿理财</w:t>
      </w:r>
      <w:r>
        <w:rPr>
          <w:rFonts w:hint="eastAsia" w:ascii="黑体" w:eastAsia="黑体"/>
          <w:bCs/>
          <w:sz w:val="30"/>
          <w:szCs w:val="30"/>
        </w:rPr>
        <w:t>-普惠季享”</w:t>
      </w:r>
      <w:r>
        <w:rPr>
          <w:rFonts w:ascii="黑体" w:eastAsia="黑体"/>
          <w:color w:val="000000"/>
          <w:sz w:val="30"/>
          <w:szCs w:val="30"/>
          <w:u w:val="single"/>
        </w:rPr>
        <w:t>25030</w:t>
      </w:r>
      <w:r>
        <w:rPr>
          <w:rFonts w:hint="eastAsia" w:ascii="黑体" w:eastAsia="黑体"/>
          <w:bCs/>
          <w:sz w:val="30"/>
          <w:szCs w:val="30"/>
        </w:rPr>
        <w:t>号（稳健低波款）</w:t>
      </w: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本产品适合于经温州银行评估为稳健型、平衡型、进取型、激进型的新签约个人投资者或定向邀约的客户群体。</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adjustRightInd w:val="0"/>
        <w:snapToGrid w:val="0"/>
        <w:spacing w:line="300" w:lineRule="auto"/>
        <w:rPr>
          <w:sz w:val="18"/>
          <w:szCs w:val="18"/>
        </w:rPr>
      </w:pPr>
      <w:r>
        <w:rPr>
          <w:rFonts w:hint="eastAsia"/>
          <w:sz w:val="18"/>
          <w:szCs w:val="18"/>
        </w:rPr>
        <w:t>产品：指“</w:t>
      </w:r>
      <w:r>
        <w:rPr>
          <w:rFonts w:hint="eastAsia"/>
          <w:sz w:val="18"/>
          <w:szCs w:val="18"/>
          <w:lang w:eastAsia="zh-CN"/>
        </w:rPr>
        <w:t>金鹿理财</w:t>
      </w:r>
      <w:r>
        <w:rPr>
          <w:rFonts w:hint="eastAsia" w:ascii="宋体" w:hAnsi="宋体"/>
          <w:sz w:val="18"/>
          <w:szCs w:val="18"/>
        </w:rPr>
        <w:t>-</w:t>
      </w:r>
      <w:r>
        <w:rPr>
          <w:rFonts w:hint="eastAsia"/>
          <w:sz w:val="18"/>
          <w:szCs w:val="18"/>
        </w:rPr>
        <w:t>普惠季享”</w:t>
      </w:r>
      <w:r>
        <w:rPr>
          <w:color w:val="000000"/>
          <w:sz w:val="18"/>
          <w:szCs w:val="18"/>
        </w:rPr>
        <w:t>25030</w:t>
      </w:r>
      <w:r>
        <w:rPr>
          <w:rFonts w:hint="eastAsia"/>
          <w:sz w:val="18"/>
          <w:szCs w:val="18"/>
        </w:rPr>
        <w:t>号（稳健低波款）银行理财计划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lang w:eastAsia="zh-CN"/>
              </w:rPr>
              <w:t>金鹿理财</w:t>
            </w:r>
            <w:r>
              <w:rPr>
                <w:sz w:val="18"/>
                <w:szCs w:val="18"/>
              </w:rPr>
              <w:t>-</w:t>
            </w:r>
            <w:r>
              <w:rPr>
                <w:rFonts w:hint="eastAsia"/>
                <w:sz w:val="18"/>
                <w:szCs w:val="18"/>
              </w:rPr>
              <w:t>普惠季享</w:t>
            </w:r>
            <w:r>
              <w:rPr>
                <w:sz w:val="18"/>
                <w:szCs w:val="18"/>
              </w:rPr>
              <w:t>”</w:t>
            </w:r>
            <w:r>
              <w:rPr>
                <w:color w:val="000000"/>
                <w:sz w:val="18"/>
                <w:szCs w:val="18"/>
                <w:u w:val="single"/>
              </w:rPr>
              <w:t>25030</w:t>
            </w:r>
            <w:r>
              <w:rPr>
                <w:sz w:val="18"/>
                <w:szCs w:val="18"/>
              </w:rPr>
              <w:t>号</w:t>
            </w:r>
            <w:r>
              <w:rPr>
                <w:rFonts w:hint="eastAsia"/>
                <w:sz w:val="18"/>
                <w:szCs w:val="18"/>
              </w:rPr>
              <w:t>（稳健低波款）银行理财计划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szCs w:val="18"/>
              </w:rPr>
              <w:t>JW2530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szCs w:val="18"/>
              </w:rPr>
              <w:t>C1092225000063</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经温州银行风险承受能力评估为稳健型、平衡型、进取型、激进型的新签约个人投资者或定向邀约的客户群体。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399</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发售规模不超过20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u w:val="single"/>
              </w:rPr>
            </w:pPr>
            <w:r>
              <w:rPr>
                <w:color w:val="000000"/>
                <w:sz w:val="18"/>
                <w:u w:val="single"/>
              </w:rPr>
              <w:t>2026年1月13日</w:t>
            </w:r>
            <w:r>
              <w:rPr>
                <w:rFonts w:hint="eastAsia"/>
                <w:sz w:val="18"/>
                <w:u w:val="single"/>
              </w:rPr>
              <w:t>至</w:t>
            </w:r>
            <w:r>
              <w:rPr>
                <w:color w:val="000000"/>
                <w:sz w:val="18"/>
                <w:u w:val="single"/>
              </w:rPr>
              <w:t>2026年1月19日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2026年1月20日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24"/>
                <w:u w:val="single"/>
              </w:rPr>
            </w:pPr>
            <w:r>
              <w:rPr>
                <w:rFonts w:hint="eastAsia"/>
                <w:color w:val="000000"/>
                <w:sz w:val="18"/>
                <w:szCs w:val="24"/>
                <w:u w:val="single"/>
                <w:lang w:val="en-US" w:eastAsia="zh-CN"/>
              </w:rPr>
              <w:t>2027年2月23日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lang w:val="en-US" w:eastAsia="zh-CN"/>
              </w:rPr>
              <w:t>2.55%</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若本理财产品扣除产品固定管理费（如有）、托管费及其他费用（如有）后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pPr>
              <w:jc w:val="left"/>
              <w:rPr>
                <w:rFonts w:ascii="宋体" w:hAnsi="宋体"/>
                <w:sz w:val="18"/>
                <w:szCs w:val="18"/>
              </w:rPr>
            </w:pPr>
            <w:r>
              <w:rPr>
                <w:rFonts w:hint="eastAsia" w:ascii="宋体" w:hAnsi="宋体"/>
                <w:sz w:val="18"/>
                <w:szCs w:val="18"/>
              </w:rPr>
              <w:t>单一投资者累计最大购买金额2000万元。</w:t>
            </w:r>
          </w:p>
          <w:p>
            <w:pPr>
              <w:rPr>
                <w:szCs w:val="21"/>
              </w:rPr>
            </w:pPr>
            <w:r>
              <w:rPr>
                <w:rFonts w:hint="eastAsia" w:ascii="宋体" w:hAnsi="宋体"/>
                <w:sz w:val="18"/>
                <w:szCs w:val="18"/>
              </w:rPr>
              <w:t>单一投资者持有份额不得超过总份额的50%；投资者持有份额的计算以管理人登记为准。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，包括但不限于银行间市场和证券交易所市场债权性资产、非标准化债权资产、资产管理计划、信托计划、各类受（收）益权、资产支持证券、票据资产、证券投资基金、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、投资比例</w:t>
      </w:r>
    </w:p>
    <w:tbl>
      <w:tblPr>
        <w:tblStyle w:val="8"/>
        <w:tblW w:w="0" w:type="auto"/>
        <w:jc w:val="center"/>
        <w:tblLayout w:type="fixed"/>
        <w:tblCellMar>
          <w:top w:w="0" w:type="dxa"/>
          <w:left w:w="108" w:type="dxa"/>
          <w:bottom w:w="0" w:type="dxa"/>
          <w:right w:w="108" w:type="dxa"/>
        </w:tblCellMar>
      </w:tblPr>
      <w:tblGrid>
        <w:gridCol w:w="2304"/>
        <w:gridCol w:w="5393"/>
        <w:gridCol w:w="1703"/>
      </w:tblGrid>
      <w:tr>
        <w:tblPrEx>
          <w:tblCellMar>
            <w:top w:w="0" w:type="dxa"/>
            <w:left w:w="108" w:type="dxa"/>
            <w:bottom w:w="0" w:type="dxa"/>
            <w:right w:w="108" w:type="dxa"/>
          </w:tblCellMar>
        </w:tblPrEx>
        <w:trPr>
          <w:trHeight w:val="270" w:hRule="atLeast"/>
          <w:jc w:val="center"/>
        </w:trPr>
        <w:tc>
          <w:tcPr>
            <w:tcW w:w="2304"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39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304"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kern w:val="0"/>
                <w:sz w:val="18"/>
                <w:szCs w:val="18"/>
              </w:rPr>
            </w:pPr>
            <w:r>
              <w:rPr>
                <w:rFonts w:hint="eastAsia" w:ascii="宋体" w:hAnsi="宋体" w:cs="宋体"/>
                <w:color w:val="000000"/>
                <w:kern w:val="0"/>
                <w:sz w:val="18"/>
                <w:szCs w:val="18"/>
                <w:lang w:val="en-US" w:eastAsia="zh-CN"/>
              </w:rPr>
              <w:t>其他类资产</w:t>
            </w:r>
          </w:p>
        </w:tc>
        <w:tc>
          <w:tcPr>
            <w:tcW w:w="5393" w:type="dxa"/>
            <w:tcBorders>
              <w:top w:val="nil"/>
              <w:left w:val="nil"/>
              <w:bottom w:val="single" w:color="auto" w:sz="4" w:space="0"/>
              <w:right w:val="single" w:color="auto" w:sz="4" w:space="0"/>
            </w:tcBorders>
            <w:vAlign w:val="center"/>
          </w:tcPr>
          <w:p>
            <w:pPr>
              <w:widowControl/>
              <w:jc w:val="both"/>
              <w:rPr>
                <w:rFonts w:ascii="宋体" w:hAnsi="宋体" w:cs="宋体"/>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w:t>
      </w:r>
    </w:p>
    <w:p>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0" w:lineRule="auto"/>
        <w:rPr>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rStyle w:val="17"/>
          <w:rFonts w:hint="eastAsia" w:ascii="宋体" w:hAnsi="宋体"/>
          <w:sz w:val="18"/>
          <w:szCs w:val="18"/>
        </w:rPr>
        <w:t>www.wzbank.cn</w:t>
      </w:r>
      <w:r>
        <w:rPr>
          <w:rStyle w:val="17"/>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b/>
          <w:bCs/>
          <w:sz w:val="18"/>
          <w:szCs w:val="18"/>
        </w:rPr>
      </w:pPr>
      <w:r>
        <w:rPr>
          <w:rFonts w:hint="eastAsia"/>
          <w:sz w:val="18"/>
          <w:szCs w:val="18"/>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color w:val="000000"/>
          <w:sz w:val="18"/>
          <w:szCs w:val="18"/>
        </w:rPr>
        <w:t>本产品业绩比较基准为2.55%（年化）。本产品业绩比较基准仅作为计提产品浮动管理费的依据，不构成温州银行对该理财产品的任何收益承诺。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2）当管理人接受某笔或者某些认购申请有可能导致单一投资者持有理财计划份额的比例达到或超过50%的情形。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3）法律法规规定或监管机构认定的其他情形。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lang w:val="en-US" w:eastAsia="zh-CN"/>
        </w:rPr>
        <w:t>2027年2月23日</w:t>
      </w:r>
      <w:r>
        <w:rPr>
          <w:rFonts w:hint="eastAsia"/>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pPr>
        <w:adjustRightInd w:val="0"/>
        <w:snapToGrid w:val="0"/>
        <w:spacing w:line="286" w:lineRule="auto"/>
        <w:rPr>
          <w:rFonts w:hint="eastAsia"/>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以某客户投资100万元为例，购买时产品净值为1.00元，折算份额为1,000,000.00份,理财期限为399天。假设产品业绩比较基准为2.</w:t>
      </w:r>
      <w:r>
        <w:rPr>
          <w:rFonts w:hint="eastAsia"/>
          <w:sz w:val="18"/>
          <w:szCs w:val="18"/>
          <w:lang w:val="en-US" w:eastAsia="zh-CN"/>
        </w:rPr>
        <w:t>5</w:t>
      </w:r>
      <w:r>
        <w:rPr>
          <w:rFonts w:hint="eastAsia"/>
          <w:sz w:val="18"/>
          <w:szCs w:val="18"/>
        </w:rPr>
        <w:t>5%。到期时扣除托管费、销售服务费、固定管理费及其他费用（如有）后，如产品净值为1.03，此时， (1.03/1.00-1)×365/399=2.74%&gt;2.</w:t>
      </w:r>
      <w:r>
        <w:rPr>
          <w:rFonts w:hint="eastAsia"/>
          <w:sz w:val="18"/>
          <w:szCs w:val="18"/>
          <w:lang w:val="en-US" w:eastAsia="zh-CN"/>
        </w:rPr>
        <w:t>5</w:t>
      </w:r>
      <w:r>
        <w:rPr>
          <w:rFonts w:hint="eastAsia"/>
          <w:sz w:val="18"/>
          <w:szCs w:val="18"/>
        </w:rPr>
        <w:t>5%，即投资收益超越业绩比较基准，则投资管理人对超过业绩比较基准部分收益收取浮动管理费，浮动管理费为：1,000,000.00×[1.03-1.00×(1+2.</w:t>
      </w:r>
      <w:r>
        <w:rPr>
          <w:rFonts w:hint="eastAsia"/>
          <w:sz w:val="18"/>
          <w:szCs w:val="18"/>
          <w:lang w:val="en-US" w:eastAsia="zh-CN"/>
        </w:rPr>
        <w:t>5</w:t>
      </w:r>
      <w:r>
        <w:rPr>
          <w:rFonts w:hint="eastAsia"/>
          <w:sz w:val="18"/>
          <w:szCs w:val="18"/>
        </w:rPr>
        <w:t>5%×399/365)]×80%=</w:t>
      </w:r>
      <w:r>
        <w:rPr>
          <w:rFonts w:hint="eastAsia"/>
          <w:sz w:val="18"/>
          <w:szCs w:val="18"/>
          <w:lang w:val="en-US" w:eastAsia="zh-CN"/>
        </w:rPr>
        <w:t>1699.73</w:t>
      </w:r>
      <w:r>
        <w:rPr>
          <w:rFonts w:hint="eastAsia"/>
          <w:sz w:val="18"/>
          <w:szCs w:val="18"/>
        </w:rPr>
        <w:t>（元）。扣除浮动管理费后，客户最终收益为：1,000,000.00×（1.03-1.00）-</w:t>
      </w:r>
      <w:r>
        <w:rPr>
          <w:rFonts w:hint="eastAsia"/>
          <w:sz w:val="18"/>
          <w:szCs w:val="18"/>
          <w:lang w:val="en-US" w:eastAsia="zh-CN"/>
        </w:rPr>
        <w:t>1699.73</w:t>
      </w:r>
      <w:r>
        <w:rPr>
          <w:rFonts w:hint="eastAsia"/>
          <w:sz w:val="18"/>
          <w:szCs w:val="18"/>
        </w:rPr>
        <w:t>=2</w:t>
      </w:r>
      <w:r>
        <w:rPr>
          <w:rFonts w:hint="eastAsia"/>
          <w:sz w:val="18"/>
          <w:szCs w:val="18"/>
          <w:lang w:val="en-US" w:eastAsia="zh-CN"/>
        </w:rPr>
        <w:t>8300.27</w:t>
      </w:r>
      <w:r>
        <w:rPr>
          <w:rFonts w:hint="eastAsia"/>
          <w:sz w:val="18"/>
          <w:szCs w:val="18"/>
        </w:rPr>
        <w:t>（元），产品到期时，客户获得的实际收益相当于达到年化收益率水平为：2</w:t>
      </w:r>
      <w:r>
        <w:rPr>
          <w:rFonts w:hint="eastAsia"/>
          <w:sz w:val="18"/>
          <w:szCs w:val="18"/>
          <w:lang w:val="en-US" w:eastAsia="zh-CN"/>
        </w:rPr>
        <w:t>8300.27</w:t>
      </w:r>
      <w:r>
        <w:rPr>
          <w:rFonts w:hint="eastAsia"/>
          <w:sz w:val="18"/>
          <w:szCs w:val="18"/>
        </w:rPr>
        <w:t>/1,000,000.00×365/399=2.</w:t>
      </w:r>
      <w:r>
        <w:rPr>
          <w:rFonts w:hint="eastAsia"/>
          <w:sz w:val="18"/>
          <w:szCs w:val="18"/>
          <w:lang w:val="en-US" w:eastAsia="zh-CN"/>
        </w:rPr>
        <w:t>59</w:t>
      </w:r>
      <w:r>
        <w:rPr>
          <w:rFonts w:hint="eastAsia"/>
          <w:sz w:val="18"/>
          <w:szCs w:val="18"/>
        </w:rPr>
        <w:t>%。</w:t>
      </w:r>
    </w:p>
    <w:p>
      <w:pPr>
        <w:adjustRightInd w:val="0"/>
        <w:snapToGrid w:val="0"/>
        <w:spacing w:line="286" w:lineRule="auto"/>
        <w:rPr>
          <w:rFonts w:hint="eastAsia"/>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以某客户投资100万元为例，购买时产品净值为1.00元，折算份额为1,000,000.00份,理财期限为399天。假设产品业绩比较基准为2.</w:t>
      </w:r>
      <w:r>
        <w:rPr>
          <w:rFonts w:hint="eastAsia"/>
          <w:sz w:val="18"/>
          <w:szCs w:val="18"/>
          <w:lang w:val="en-US" w:eastAsia="zh-CN"/>
        </w:rPr>
        <w:t>5</w:t>
      </w:r>
      <w:r>
        <w:rPr>
          <w:rFonts w:hint="eastAsia"/>
          <w:sz w:val="18"/>
          <w:szCs w:val="18"/>
        </w:rPr>
        <w:t>5%。到期时扣除托管费、销售服务费、固定管理费及其他费用（如有）后，如产品净值为1.027，此时，(1.027/1.00-1)×365/399=2.47%&lt;2.</w:t>
      </w:r>
      <w:r>
        <w:rPr>
          <w:rFonts w:hint="eastAsia"/>
          <w:sz w:val="18"/>
          <w:szCs w:val="18"/>
          <w:lang w:val="en-US" w:eastAsia="zh-CN"/>
        </w:rPr>
        <w:t>5</w:t>
      </w:r>
      <w:r>
        <w:rPr>
          <w:rFonts w:hint="eastAsia"/>
          <w:sz w:val="18"/>
          <w:szCs w:val="18"/>
        </w:rPr>
        <w:t>5%，即投资收益未达到业绩比较基准，则投资管理人不收取浮动管理费，客户最终收益为：1,000,000.00×(1.027-1.00）=27000（元）。</w:t>
      </w:r>
    </w:p>
    <w:p>
      <w:pPr>
        <w:adjustRightInd w:val="0"/>
        <w:snapToGrid w:val="0"/>
        <w:spacing w:line="286" w:lineRule="auto"/>
        <w:rPr>
          <w:rFonts w:hint="eastAsia"/>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rFonts w:hint="eastAsia" w:eastAsia="宋体"/>
          <w:sz w:val="18"/>
          <w:szCs w:val="18"/>
          <w:lang w:eastAsia="zh-CN"/>
        </w:rPr>
      </w:pPr>
      <w:r>
        <w:rPr>
          <w:rFonts w:hint="eastAsia"/>
          <w:sz w:val="18"/>
          <w:szCs w:val="18"/>
        </w:rPr>
        <w:t>以某客户投资100万元为例，购买时产品净值为1.00元，折算份额为1,000,000.00份，理财期限为399天。假设产品业绩比较基准为2.</w:t>
      </w:r>
      <w:r>
        <w:rPr>
          <w:rFonts w:hint="eastAsia"/>
          <w:sz w:val="18"/>
          <w:szCs w:val="18"/>
          <w:lang w:val="en-US" w:eastAsia="zh-CN"/>
        </w:rPr>
        <w:t>5</w:t>
      </w:r>
      <w:r>
        <w:rPr>
          <w:rFonts w:hint="eastAsia"/>
          <w:sz w:val="18"/>
          <w:szCs w:val="18"/>
        </w:rPr>
        <w:t>5%，到期时扣除托管费、销售服务费、固定管理费及其他费用（如有）后，如产品净值为0.998，则投资管理人不收取浮动管理费，客户最终收益为：1,000,000.00×（0.998-1.00）=-2000.00（元）。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hint="eastAsia" w:ascii="宋体" w:hAnsi="宋体"/>
          <w:sz w:val="18"/>
          <w:szCs w:val="18"/>
        </w:rPr>
        <w:t>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1"/>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1"/>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1"/>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1"/>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变化或波动所引起的资产损失的可能性。宏观经济运行的周期性，财政政策、货币政策等国家政策的变动，以及政府对证券市场的监管政策的变化等因素都会对债券市场</w:t>
      </w:r>
      <w:r>
        <w:rPr>
          <w:rFonts w:hint="eastAsia"/>
          <w:sz w:val="18"/>
          <w:szCs w:val="18"/>
        </w:rPr>
        <w:t>或证券市场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5"/>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5"/>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Cs/>
          <w:sz w:val="18"/>
          <w:szCs w:val="18"/>
        </w:rPr>
      </w:pPr>
      <w:r>
        <w:rPr>
          <w:rFonts w:hint="eastAsia"/>
          <w:bCs/>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86" w:lineRule="auto"/>
        <w:rPr>
          <w:b/>
          <w:bCs/>
          <w:sz w:val="18"/>
          <w:szCs w:val="18"/>
        </w:rPr>
      </w:pPr>
      <w:r>
        <w:rPr>
          <w:rFonts w:hint="eastAsia"/>
          <w:b/>
          <w:bCs/>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2"/>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2"/>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2"/>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2"/>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w:t>
      </w:r>
      <w:r>
        <w:rPr>
          <w:rFonts w:hint="eastAsia"/>
          <w:sz w:val="18"/>
          <w:szCs w:val="18"/>
          <w:lang w:eastAsia="zh-CN"/>
        </w:rPr>
        <w:t>金鹿理财</w:t>
      </w:r>
      <w:r>
        <w:rPr>
          <w:rFonts w:hint="eastAsia"/>
          <w:sz w:val="18"/>
          <w:szCs w:val="18"/>
        </w:rPr>
        <w:t>-普惠季享”</w:t>
      </w:r>
      <w:r>
        <w:rPr>
          <w:color w:val="000000"/>
          <w:sz w:val="18"/>
          <w:szCs w:val="18"/>
        </w:rPr>
        <w:t>25030</w:t>
      </w:r>
      <w:r>
        <w:rPr>
          <w:rFonts w:hint="eastAsia"/>
          <w:sz w:val="18"/>
          <w:szCs w:val="18"/>
        </w:rPr>
        <w:t>号（稳健低波款）银行理财计划风险揭示书》、《温州银行“</w:t>
      </w:r>
      <w:r>
        <w:rPr>
          <w:rFonts w:hint="eastAsia"/>
          <w:sz w:val="18"/>
          <w:szCs w:val="18"/>
          <w:lang w:val="en-US" w:eastAsia="zh-CN"/>
        </w:rPr>
        <w:t>金鹿</w:t>
      </w:r>
      <w:r>
        <w:rPr>
          <w:rFonts w:hint="eastAsia"/>
          <w:sz w:val="18"/>
          <w:szCs w:val="18"/>
          <w:lang w:eastAsia="zh-CN"/>
        </w:rPr>
        <w:t>理财</w:t>
      </w:r>
      <w:r>
        <w:rPr>
          <w:rFonts w:hint="eastAsia"/>
          <w:sz w:val="18"/>
          <w:szCs w:val="18"/>
        </w:rPr>
        <w:t>”银行理财计划合约》和《温州银行理财产品投资者权益须知》等销售文件中的内容与本产品说明书不一致的，以本产品说明书约定的内容为准。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10D8C1A8"/>
    <w:multiLevelType w:val="singleLevel"/>
    <w:tmpl w:val="10D8C1A8"/>
    <w:lvl w:ilvl="0" w:tentative="0">
      <w:start w:val="1"/>
      <w:numFmt w:val="decimal"/>
      <w:lvlText w:val="%1."/>
      <w:lvlJc w:val="left"/>
      <w:pPr>
        <w:tabs>
          <w:tab w:val="left" w:pos="312"/>
        </w:tabs>
      </w:pPr>
    </w:lvl>
  </w:abstractNum>
  <w:num w:numId="1">
    <w:abstractNumId w:val="1"/>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documentProtection w:edit="readOnly" w:enforcement="1" w:cryptProviderType="rsaFull" w:cryptAlgorithmClass="hash" w:cryptAlgorithmType="typeAny" w:cryptAlgorithmSid="4" w:cryptSpinCount="0" w:hash="1XycuWv5mpY6zeblg4dcQPTXNYU=" w:salt="1otGc1ou7hXeIyBnK/xKEg=="/>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01711"/>
    <w:rsid w:val="00043A25"/>
    <w:rsid w:val="00084C7A"/>
    <w:rsid w:val="000B26F9"/>
    <w:rsid w:val="000B5F19"/>
    <w:rsid w:val="000E5C4C"/>
    <w:rsid w:val="00154819"/>
    <w:rsid w:val="001C7F99"/>
    <w:rsid w:val="001D7791"/>
    <w:rsid w:val="0021703D"/>
    <w:rsid w:val="00224E09"/>
    <w:rsid w:val="00232935"/>
    <w:rsid w:val="0026075F"/>
    <w:rsid w:val="002E119C"/>
    <w:rsid w:val="002F2A5A"/>
    <w:rsid w:val="003431F5"/>
    <w:rsid w:val="003F5708"/>
    <w:rsid w:val="00497A98"/>
    <w:rsid w:val="0055724A"/>
    <w:rsid w:val="00586F94"/>
    <w:rsid w:val="00633DBA"/>
    <w:rsid w:val="0065160F"/>
    <w:rsid w:val="00691B96"/>
    <w:rsid w:val="00693A8D"/>
    <w:rsid w:val="006B0B8E"/>
    <w:rsid w:val="00714A37"/>
    <w:rsid w:val="00737995"/>
    <w:rsid w:val="00757B1C"/>
    <w:rsid w:val="00766CF2"/>
    <w:rsid w:val="0078088F"/>
    <w:rsid w:val="007828DA"/>
    <w:rsid w:val="007918BA"/>
    <w:rsid w:val="00795370"/>
    <w:rsid w:val="00795498"/>
    <w:rsid w:val="007A7805"/>
    <w:rsid w:val="00803D27"/>
    <w:rsid w:val="00832709"/>
    <w:rsid w:val="00836614"/>
    <w:rsid w:val="00866A5E"/>
    <w:rsid w:val="008933E1"/>
    <w:rsid w:val="008965DA"/>
    <w:rsid w:val="009115E2"/>
    <w:rsid w:val="00967AF7"/>
    <w:rsid w:val="009E3776"/>
    <w:rsid w:val="009E5DE6"/>
    <w:rsid w:val="00A529EE"/>
    <w:rsid w:val="00A95D28"/>
    <w:rsid w:val="00AE62CD"/>
    <w:rsid w:val="00B02D36"/>
    <w:rsid w:val="00B032AE"/>
    <w:rsid w:val="00B47ADD"/>
    <w:rsid w:val="00BB1978"/>
    <w:rsid w:val="00BB27A2"/>
    <w:rsid w:val="00BC2F8D"/>
    <w:rsid w:val="00BD36C8"/>
    <w:rsid w:val="00C237B9"/>
    <w:rsid w:val="00C34FBE"/>
    <w:rsid w:val="00C8618C"/>
    <w:rsid w:val="00CC185D"/>
    <w:rsid w:val="00CE4F74"/>
    <w:rsid w:val="00CE5B75"/>
    <w:rsid w:val="00D33669"/>
    <w:rsid w:val="00D93DE5"/>
    <w:rsid w:val="00E23CF0"/>
    <w:rsid w:val="00E2610C"/>
    <w:rsid w:val="00E303C0"/>
    <w:rsid w:val="00E31C39"/>
    <w:rsid w:val="00E9738F"/>
    <w:rsid w:val="00EC58B6"/>
    <w:rsid w:val="00EE0B34"/>
    <w:rsid w:val="00F24751"/>
    <w:rsid w:val="00F33115"/>
    <w:rsid w:val="00F46191"/>
    <w:rsid w:val="00F64724"/>
    <w:rsid w:val="00F81FE4"/>
    <w:rsid w:val="00F8458B"/>
    <w:rsid w:val="00FA4EF8"/>
    <w:rsid w:val="011D0799"/>
    <w:rsid w:val="018C5462"/>
    <w:rsid w:val="01B25DFE"/>
    <w:rsid w:val="020D5912"/>
    <w:rsid w:val="035A360D"/>
    <w:rsid w:val="03C64591"/>
    <w:rsid w:val="04752421"/>
    <w:rsid w:val="06F87141"/>
    <w:rsid w:val="07BB40C7"/>
    <w:rsid w:val="08EF38EC"/>
    <w:rsid w:val="09446D7E"/>
    <w:rsid w:val="098062CC"/>
    <w:rsid w:val="0A0F12B9"/>
    <w:rsid w:val="0A1675AA"/>
    <w:rsid w:val="0A887557"/>
    <w:rsid w:val="0AC90772"/>
    <w:rsid w:val="0BF132A6"/>
    <w:rsid w:val="0E591C28"/>
    <w:rsid w:val="104F44D5"/>
    <w:rsid w:val="10B17669"/>
    <w:rsid w:val="12B465CD"/>
    <w:rsid w:val="141472A9"/>
    <w:rsid w:val="14237D99"/>
    <w:rsid w:val="14F07B6A"/>
    <w:rsid w:val="17CF37DD"/>
    <w:rsid w:val="17FB0939"/>
    <w:rsid w:val="18377CAF"/>
    <w:rsid w:val="18AD336C"/>
    <w:rsid w:val="191D5323"/>
    <w:rsid w:val="19E25A8D"/>
    <w:rsid w:val="1A5F6148"/>
    <w:rsid w:val="1E0E2FBE"/>
    <w:rsid w:val="1EBD7528"/>
    <w:rsid w:val="20DB6550"/>
    <w:rsid w:val="22A04815"/>
    <w:rsid w:val="22D525BD"/>
    <w:rsid w:val="23535C37"/>
    <w:rsid w:val="23F76394"/>
    <w:rsid w:val="244A5795"/>
    <w:rsid w:val="2648525A"/>
    <w:rsid w:val="26531D8B"/>
    <w:rsid w:val="268A5E41"/>
    <w:rsid w:val="275A751E"/>
    <w:rsid w:val="277A757E"/>
    <w:rsid w:val="27BD2B01"/>
    <w:rsid w:val="27DE6CFF"/>
    <w:rsid w:val="28076A45"/>
    <w:rsid w:val="28C31174"/>
    <w:rsid w:val="296645C3"/>
    <w:rsid w:val="2ACF0E36"/>
    <w:rsid w:val="2CA15A37"/>
    <w:rsid w:val="2D1D2B95"/>
    <w:rsid w:val="2F7E1AF7"/>
    <w:rsid w:val="2F862BC5"/>
    <w:rsid w:val="313A7139"/>
    <w:rsid w:val="31AC46DA"/>
    <w:rsid w:val="322778BD"/>
    <w:rsid w:val="32683389"/>
    <w:rsid w:val="3318043A"/>
    <w:rsid w:val="34B828A9"/>
    <w:rsid w:val="36C936FE"/>
    <w:rsid w:val="37FBE007"/>
    <w:rsid w:val="38573E36"/>
    <w:rsid w:val="39766FF2"/>
    <w:rsid w:val="3985543E"/>
    <w:rsid w:val="3A9532FB"/>
    <w:rsid w:val="3BBF210A"/>
    <w:rsid w:val="3C0741A4"/>
    <w:rsid w:val="3D150741"/>
    <w:rsid w:val="3D86300C"/>
    <w:rsid w:val="3E2566A4"/>
    <w:rsid w:val="3F7E5351"/>
    <w:rsid w:val="3FBD214F"/>
    <w:rsid w:val="4146226E"/>
    <w:rsid w:val="424649EA"/>
    <w:rsid w:val="43712A5A"/>
    <w:rsid w:val="4409550D"/>
    <w:rsid w:val="45FA54E8"/>
    <w:rsid w:val="462B298E"/>
    <w:rsid w:val="489032CB"/>
    <w:rsid w:val="4CBDE6D6"/>
    <w:rsid w:val="4EFE40C2"/>
    <w:rsid w:val="4F6568BD"/>
    <w:rsid w:val="54133033"/>
    <w:rsid w:val="546F0E0A"/>
    <w:rsid w:val="56865A7D"/>
    <w:rsid w:val="56AB5155"/>
    <w:rsid w:val="57313966"/>
    <w:rsid w:val="58A26889"/>
    <w:rsid w:val="5A6C6059"/>
    <w:rsid w:val="5AC90CB7"/>
    <w:rsid w:val="5D0B2C53"/>
    <w:rsid w:val="5DD76B10"/>
    <w:rsid w:val="5DEA51A3"/>
    <w:rsid w:val="5E014390"/>
    <w:rsid w:val="5E777DB5"/>
    <w:rsid w:val="5F4A6202"/>
    <w:rsid w:val="5F611AC5"/>
    <w:rsid w:val="5F751704"/>
    <w:rsid w:val="61E21802"/>
    <w:rsid w:val="623D1E92"/>
    <w:rsid w:val="627B657A"/>
    <w:rsid w:val="63F70027"/>
    <w:rsid w:val="6522045B"/>
    <w:rsid w:val="67DC31E6"/>
    <w:rsid w:val="68785140"/>
    <w:rsid w:val="693E0188"/>
    <w:rsid w:val="699C4EA7"/>
    <w:rsid w:val="6D15771F"/>
    <w:rsid w:val="6E3D3C47"/>
    <w:rsid w:val="6F291A04"/>
    <w:rsid w:val="729A0DAC"/>
    <w:rsid w:val="73F34721"/>
    <w:rsid w:val="754D3522"/>
    <w:rsid w:val="76592994"/>
    <w:rsid w:val="77638161"/>
    <w:rsid w:val="780A54E7"/>
    <w:rsid w:val="79632EC7"/>
    <w:rsid w:val="7AFF2EFC"/>
    <w:rsid w:val="7BCF7B64"/>
    <w:rsid w:val="7E4B18D2"/>
    <w:rsid w:val="7E5E7DE2"/>
    <w:rsid w:val="7F77C802"/>
    <w:rsid w:val="7FCB2A93"/>
    <w:rsid w:val="7FD9EDC6"/>
    <w:rsid w:val="ED99F6D6"/>
    <w:rsid w:val="EFE478D8"/>
    <w:rsid w:val="FD5CD07D"/>
    <w:rsid w:val="FF3C6ED5"/>
    <w:rsid w:val="FFE38883"/>
    <w:rsid w:val="FFFC16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0"/>
    <w:unhideWhenUsed/>
    <w:qFormat/>
    <w:uiPriority w:val="99"/>
    <w:pPr>
      <w:jc w:val="left"/>
    </w:pPr>
  </w:style>
  <w:style w:type="paragraph" w:styleId="3">
    <w:name w:val="Plain Text"/>
    <w:basedOn w:val="1"/>
    <w:link w:val="11"/>
    <w:unhideWhenUsed/>
    <w:qFormat/>
    <w:uiPriority w:val="99"/>
    <w:rPr>
      <w:rFonts w:ascii="宋体" w:hAnsi="Courier New"/>
      <w:kern w:val="0"/>
      <w:sz w:val="20"/>
      <w:szCs w:val="21"/>
    </w:rPr>
  </w:style>
  <w:style w:type="paragraph" w:styleId="4">
    <w:name w:val="Balloon Text"/>
    <w:basedOn w:val="1"/>
    <w:link w:val="12"/>
    <w:unhideWhenUsed/>
    <w:qFormat/>
    <w:uiPriority w:val="99"/>
    <w:rPr>
      <w:sz w:val="18"/>
      <w:szCs w:val="18"/>
    </w:rPr>
  </w:style>
  <w:style w:type="paragraph" w:styleId="5">
    <w:name w:val="footer"/>
    <w:basedOn w:val="1"/>
    <w:link w:val="13"/>
    <w:unhideWhenUsed/>
    <w:qFormat/>
    <w:uiPriority w:val="99"/>
    <w:pPr>
      <w:tabs>
        <w:tab w:val="center" w:pos="4153"/>
        <w:tab w:val="right" w:pos="8306"/>
      </w:tabs>
      <w:snapToGrid w:val="0"/>
      <w:jc w:val="left"/>
    </w:pPr>
    <w:rPr>
      <w:kern w:val="0"/>
      <w:sz w:val="18"/>
      <w:szCs w:val="18"/>
    </w:rPr>
  </w:style>
  <w:style w:type="paragraph" w:styleId="6">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character" w:customStyle="1" w:styleId="10">
    <w:name w:val="批注文字 字符"/>
    <w:link w:val="2"/>
    <w:qFormat/>
    <w:uiPriority w:val="99"/>
    <w:rPr>
      <w:rFonts w:ascii="Times New Roman" w:hAnsi="Times New Roman"/>
      <w:kern w:val="2"/>
      <w:sz w:val="21"/>
    </w:rPr>
  </w:style>
  <w:style w:type="character" w:customStyle="1" w:styleId="11">
    <w:name w:val="纯文本 字符"/>
    <w:link w:val="3"/>
    <w:qFormat/>
    <w:uiPriority w:val="99"/>
    <w:rPr>
      <w:rFonts w:ascii="宋体" w:hAnsi="Courier New" w:eastAsia="宋体" w:cs="Courier New"/>
      <w:szCs w:val="21"/>
    </w:rPr>
  </w:style>
  <w:style w:type="character" w:customStyle="1" w:styleId="12">
    <w:name w:val="批注框文本 字符"/>
    <w:link w:val="4"/>
    <w:semiHidden/>
    <w:qFormat/>
    <w:uiPriority w:val="99"/>
    <w:rPr>
      <w:kern w:val="2"/>
      <w:sz w:val="18"/>
      <w:szCs w:val="18"/>
    </w:rPr>
  </w:style>
  <w:style w:type="character" w:customStyle="1" w:styleId="13">
    <w:name w:val="页脚 字符"/>
    <w:link w:val="5"/>
    <w:qFormat/>
    <w:uiPriority w:val="99"/>
    <w:rPr>
      <w:rFonts w:ascii="Calibri" w:hAnsi="Calibri" w:eastAsia="宋体" w:cs="Times New Roman"/>
      <w:kern w:val="0"/>
      <w:sz w:val="18"/>
      <w:szCs w:val="18"/>
    </w:rPr>
  </w:style>
  <w:style w:type="character" w:customStyle="1" w:styleId="14">
    <w:name w:val="页眉 字符"/>
    <w:link w:val="6"/>
    <w:qFormat/>
    <w:uiPriority w:val="99"/>
    <w:rPr>
      <w:kern w:val="2"/>
      <w:sz w:val="18"/>
      <w:szCs w:val="18"/>
    </w:rPr>
  </w:style>
  <w:style w:type="paragraph" w:styleId="15">
    <w:name w:val="List Paragraph"/>
    <w:basedOn w:val="1"/>
    <w:qFormat/>
    <w:uiPriority w:val="34"/>
    <w:pPr>
      <w:widowControl/>
      <w:ind w:firstLine="420"/>
    </w:pPr>
    <w:rPr>
      <w:rFonts w:cs="宋体"/>
      <w:kern w:val="0"/>
      <w:szCs w:val="21"/>
    </w:rPr>
  </w:style>
  <w:style w:type="paragraph" w:customStyle="1" w:styleId="16">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7">
    <w:name w:val="15"/>
    <w:basedOn w:val="9"/>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9</Pages>
  <Words>12890</Words>
  <Characters>13456</Characters>
  <Lines>100</Lines>
  <Paragraphs>28</Paragraphs>
  <TotalTime>9</TotalTime>
  <ScaleCrop>false</ScaleCrop>
  <LinksUpToDate>false</LinksUpToDate>
  <CharactersWithSpaces>13751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2022-03-09T07:10:00Z</dcterms:created>
  <dc:creator>陈浩</dc:creator>
  <cp:lastModifiedBy>应心茹</cp:lastModifiedBy>
  <dcterms:modified xsi:type="dcterms:W3CDTF">2026-01-08T08:51:18Z</dcterms:modified>
  <cp:revision>35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6ECA02C807F172247541F864EEADAEA6_43</vt:lpwstr>
  </property>
  <property fmtid="{D5CDD505-2E9C-101B-9397-08002B2CF9AE}" pid="4" name="KSOTemplateDocerSaveRecord">
    <vt:lpwstr>eyJoZGlkIjoiOWFlMGRmNzM2NmMzYTA5NGU1NWRhNDhiYzdmNjdlMDYiLCJ1c2VySWQiOiIzOTQzMjAxMTgifQ==</vt:lpwstr>
  </property>
</Properties>
</file>