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19044号开放式净值型银行理财计划产品说明书》、《温州银行“金鹿理财-温盈”19044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2019年12月12日</w:t>
            </w:r>
            <w:r>
              <w:rPr>
                <w:rFonts w:hint="eastAsia"/>
                <w:sz w:val="18"/>
                <w:szCs w:val="18"/>
                <w:u w:val="single"/>
              </w:rPr>
              <w:t>至</w:t>
            </w:r>
            <w:r>
              <w:rPr>
                <w:rFonts w:hint="eastAsia"/>
                <w:color w:val="000000"/>
                <w:sz w:val="18"/>
                <w:szCs w:val="18"/>
                <w:u w:val="single"/>
                <w:lang w:val="en-US" w:eastAsia="zh-CN"/>
              </w:rPr>
              <w:t>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19044号开放式净值型银行理财计划风险揭示书》、《温州银行“金鹿理财”银行理财计划合约》、《温州银行“金鹿理财-温盈”19044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7viejZ7WYnIyoWQro00Aab/2Jw=" w:salt="sXrxOMVMt8MOrAA2x7B/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E827B47"/>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2026-01-19T01:28:03Z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