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41" w:line="218" w:lineRule="auto"/>
        <w:ind w:left="1481"/>
        <w:outlineLvl w:val="0"/>
        <w:rPr>
          <w:rFonts w:ascii="黑体" w:hAnsi="黑体" w:eastAsia="黑体" w:cs="黑体"/>
          <w:sz w:val="36"/>
          <w:szCs w:val="36"/>
        </w:rPr>
      </w:pPr>
      <w:r>
        <w:rPr>
          <w:rFonts w:ascii="黑体" w:hAnsi="黑体" w:eastAsia="黑体" w:cs="黑体"/>
          <w:spacing w:val="-1"/>
          <w:sz w:val="36"/>
          <w:szCs w:val="36"/>
        </w:rPr>
        <w:t>温州银行理财产品投资者权益须知</w:t>
      </w:r>
    </w:p>
    <w:p>
      <w:pPr>
        <w:spacing w:line="305" w:lineRule="auto"/>
        <w:rPr>
          <w:rFonts w:ascii="Arial"/>
          <w:sz w:val="21"/>
        </w:rPr>
      </w:pPr>
    </w:p>
    <w:p>
      <w:pPr>
        <w:spacing w:line="306" w:lineRule="auto"/>
        <w:rPr>
          <w:rFonts w:ascii="Arial"/>
          <w:sz w:val="21"/>
        </w:rPr>
      </w:pPr>
    </w:p>
    <w:p>
      <w:pPr>
        <w:pStyle w:val="3"/>
        <w:spacing w:before="91" w:line="221" w:lineRule="auto"/>
        <w:ind w:left="27"/>
        <w:rPr>
          <w:sz w:val="28"/>
          <w:szCs w:val="28"/>
        </w:rPr>
      </w:pPr>
      <w:r>
        <w:rPr>
          <w:b/>
          <w:bCs/>
          <w:spacing w:val="-4"/>
          <w:sz w:val="28"/>
          <w:szCs w:val="28"/>
        </w:rPr>
        <w:t>尊敬的投资者：</w:t>
      </w:r>
    </w:p>
    <w:p>
      <w:pPr>
        <w:pStyle w:val="3"/>
        <w:spacing w:before="230" w:line="360" w:lineRule="auto"/>
        <w:ind w:left="52" w:right="188" w:firstLine="479"/>
      </w:pPr>
      <w:r>
        <w:rPr>
          <w:spacing w:val="-4"/>
        </w:rPr>
        <w:t>由于理财投资存在风险，为维护您的合理权益，请您在投资前仔细</w:t>
      </w:r>
      <w:r>
        <w:rPr>
          <w:spacing w:val="-5"/>
        </w:rPr>
        <w:t>阅读以下</w:t>
      </w:r>
      <w:r>
        <w:rPr>
          <w:spacing w:val="-21"/>
        </w:rPr>
        <w:t>内容：</w:t>
      </w:r>
    </w:p>
    <w:p>
      <w:pPr>
        <w:pStyle w:val="3"/>
        <w:spacing w:line="219" w:lineRule="auto"/>
        <w:ind w:left="507"/>
      </w:pPr>
      <w:r>
        <w:rPr>
          <w:spacing w:val="-2"/>
        </w:rPr>
        <w:t>一、办理理财产品的流程</w:t>
      </w:r>
    </w:p>
    <w:p>
      <w:pPr>
        <w:pStyle w:val="3"/>
        <w:spacing w:before="182" w:line="325" w:lineRule="auto"/>
        <w:ind w:left="22" w:right="185" w:firstLine="487"/>
        <w:rPr>
          <w:b/>
          <w:bCs/>
          <w:highlight w:val="none"/>
        </w:rPr>
      </w:pPr>
      <w:r>
        <w:rPr>
          <w:spacing w:val="-3"/>
        </w:rPr>
        <w:t>（一）有意向购买理财产品的投资者在温州银</w:t>
      </w:r>
      <w:r>
        <w:rPr>
          <w:spacing w:val="-4"/>
        </w:rPr>
        <w:t>行营业网点填写客户风险</w:t>
      </w:r>
      <w:r>
        <w:rPr>
          <w:spacing w:val="-3"/>
        </w:rPr>
        <w:t>承受</w:t>
      </w:r>
      <w:r>
        <w:rPr>
          <w:spacing w:val="-3"/>
          <w:highlight w:val="none"/>
        </w:rPr>
        <w:t>能力评估问卷，</w:t>
      </w:r>
      <w:r>
        <w:rPr>
          <w:b/>
          <w:bCs/>
          <w:spacing w:val="-3"/>
          <w:highlight w:val="none"/>
        </w:rPr>
        <w:t>根据评估结果购买对应风险等级的理财产品，客户风险等级低于拟购买产品的风险等级时，不得购买该理财产品（</w:t>
      </w:r>
      <w:r>
        <w:rPr>
          <w:b/>
          <w:bCs/>
          <w:spacing w:val="-4"/>
          <w:highlight w:val="none"/>
        </w:rPr>
        <w:t>客户风险承受能力评估每</w:t>
      </w:r>
      <w:r>
        <w:rPr>
          <w:b/>
          <w:bCs/>
          <w:spacing w:val="-10"/>
          <w:highlight w:val="none"/>
        </w:rPr>
        <w:t>年至少需更新一次）。</w:t>
      </w:r>
    </w:p>
    <w:p>
      <w:pPr>
        <w:pStyle w:val="3"/>
        <w:spacing w:before="181" w:line="332" w:lineRule="auto"/>
        <w:ind w:left="22" w:right="190" w:firstLine="487"/>
        <w:rPr>
          <w:highlight w:val="none"/>
        </w:rPr>
      </w:pPr>
      <w:r>
        <w:rPr>
          <w:spacing w:val="-6"/>
          <w:highlight w:val="none"/>
        </w:rPr>
        <w:t>（二）理财产品募集期，个人投资者持本人有效身份证件及借记</w:t>
      </w:r>
      <w:r>
        <w:rPr>
          <w:spacing w:val="-7"/>
          <w:highlight w:val="none"/>
        </w:rPr>
        <w:t>卡</w:t>
      </w:r>
      <w:r>
        <w:rPr>
          <w:rFonts w:ascii="Calibri" w:hAnsi="Calibri" w:eastAsia="Calibri" w:cs="Calibri"/>
          <w:spacing w:val="-7"/>
          <w:highlight w:val="none"/>
        </w:rPr>
        <w:t>/</w:t>
      </w:r>
      <w:r>
        <w:rPr>
          <w:spacing w:val="-7"/>
          <w:highlight w:val="none"/>
        </w:rPr>
        <w:t>折，</w:t>
      </w:r>
      <w:r>
        <w:rPr>
          <w:spacing w:val="-11"/>
          <w:highlight w:val="none"/>
        </w:rPr>
        <w:t>机构投资者持营业执照原件及复印件（加盖公章）、法人代表授权书、机构公章、</w:t>
      </w:r>
      <w:r>
        <w:rPr>
          <w:spacing w:val="-3"/>
          <w:highlight w:val="none"/>
        </w:rPr>
        <w:t>法人</w:t>
      </w:r>
      <w:bookmarkStart w:id="0" w:name="_GoBack"/>
      <w:bookmarkEnd w:id="0"/>
      <w:r>
        <w:rPr>
          <w:spacing w:val="-3"/>
          <w:highlight w:val="none"/>
        </w:rPr>
        <w:t>代表身份证原件及复印件（加盖公章）、被授权人身份证原件及</w:t>
      </w:r>
      <w:r>
        <w:rPr>
          <w:spacing w:val="-4"/>
          <w:highlight w:val="none"/>
        </w:rPr>
        <w:t>复印件（加</w:t>
      </w:r>
      <w:r>
        <w:rPr>
          <w:spacing w:val="-3"/>
          <w:highlight w:val="none"/>
        </w:rPr>
        <w:t>盖公章）、预留银行印鉴以及我行要求提供的其他相关材料，和签字确认</w:t>
      </w:r>
      <w:r>
        <w:rPr>
          <w:spacing w:val="-4"/>
          <w:highlight w:val="none"/>
        </w:rPr>
        <w:t>的理财</w:t>
      </w:r>
      <w:r>
        <w:rPr>
          <w:spacing w:val="-2"/>
          <w:highlight w:val="none"/>
        </w:rPr>
        <w:t>产品说明书、风险揭示书、理财合约，购买选定的理财产品。</w:t>
      </w:r>
    </w:p>
    <w:p>
      <w:pPr>
        <w:pStyle w:val="3"/>
        <w:spacing w:before="184" w:line="218" w:lineRule="auto"/>
        <w:ind w:left="507"/>
        <w:rPr>
          <w:highlight w:val="none"/>
        </w:rPr>
      </w:pPr>
      <w:r>
        <w:rPr>
          <w:spacing w:val="-2"/>
          <w:highlight w:val="none"/>
        </w:rPr>
        <w:t>二、客户风险承受能力评估</w:t>
      </w:r>
    </w:p>
    <w:p>
      <w:pPr>
        <w:pStyle w:val="3"/>
        <w:kinsoku/>
        <w:spacing w:before="186" w:line="312" w:lineRule="auto"/>
        <w:ind w:left="23" w:right="187" w:firstLine="482"/>
        <w:rPr>
          <w:highlight w:val="none"/>
        </w:rPr>
      </w:pPr>
      <w:r>
        <w:rPr>
          <w:spacing w:val="-3"/>
          <w:highlight w:val="none"/>
        </w:rPr>
        <w:t>（一）客户风险承受能力评估是为了解投资者</w:t>
      </w:r>
      <w:r>
        <w:rPr>
          <w:spacing w:val="-4"/>
          <w:highlight w:val="none"/>
        </w:rPr>
        <w:t>可承受的风险程度、以及投资</w:t>
      </w:r>
      <w:r>
        <w:rPr>
          <w:spacing w:val="-3"/>
          <w:highlight w:val="none"/>
        </w:rPr>
        <w:t>者的投资经验，借此协助投资者选择合适的理财产品类别，以达到投资者的</w:t>
      </w:r>
      <w:r>
        <w:rPr>
          <w:spacing w:val="-4"/>
          <w:highlight w:val="none"/>
        </w:rPr>
        <w:t>投资</w:t>
      </w:r>
      <w:r>
        <w:rPr>
          <w:spacing w:val="-11"/>
          <w:highlight w:val="none"/>
        </w:rPr>
        <w:t>目标。</w:t>
      </w:r>
    </w:p>
    <w:p>
      <w:pPr>
        <w:pStyle w:val="3"/>
        <w:spacing w:before="181" w:line="290" w:lineRule="auto"/>
        <w:ind w:left="32" w:right="104" w:firstLine="478"/>
        <w:rPr>
          <w:b/>
          <w:bCs/>
          <w:highlight w:val="none"/>
        </w:rPr>
      </w:pPr>
      <w:r>
        <w:rPr>
          <w:spacing w:val="-3"/>
          <w:highlight w:val="none"/>
        </w:rPr>
        <w:t>（二）</w:t>
      </w:r>
      <w:r>
        <w:rPr>
          <w:b/>
          <w:bCs/>
          <w:spacing w:val="-3"/>
          <w:highlight w:val="none"/>
        </w:rPr>
        <w:t>投资者自身也需要了解自己的财务状况、</w:t>
      </w:r>
      <w:r>
        <w:rPr>
          <w:b/>
          <w:bCs/>
          <w:spacing w:val="-4"/>
          <w:highlight w:val="none"/>
        </w:rPr>
        <w:t>风险偏好、风险承受能力和</w:t>
      </w:r>
      <w:r>
        <w:rPr>
          <w:b/>
          <w:bCs/>
          <w:spacing w:val="-1"/>
          <w:highlight w:val="none"/>
        </w:rPr>
        <w:t>收益、流动性的需要等，以便更好地了解并选择适合个人风险偏好的理财产品。</w:t>
      </w:r>
    </w:p>
    <w:p>
      <w:pPr>
        <w:pStyle w:val="3"/>
        <w:spacing w:before="183" w:line="289" w:lineRule="auto"/>
        <w:ind w:left="63" w:firstLine="447"/>
        <w:rPr>
          <w:highlight w:val="none"/>
        </w:rPr>
      </w:pPr>
      <w:r>
        <w:rPr>
          <w:spacing w:val="-3"/>
          <w:highlight w:val="none"/>
        </w:rPr>
        <w:t>（三）根</w:t>
      </w:r>
      <w:r>
        <w:rPr>
          <w:color w:val="auto"/>
          <w:spacing w:val="-3"/>
          <w:highlight w:val="none"/>
        </w:rPr>
        <w:t>据</w:t>
      </w:r>
      <w:r>
        <w:rPr>
          <w:rFonts w:hint="eastAsia"/>
          <w:color w:val="auto"/>
          <w:spacing w:val="-3"/>
          <w:highlight w:val="none"/>
          <w:lang w:val="en-US" w:eastAsia="zh-CN"/>
        </w:rPr>
        <w:t>监管机构</w:t>
      </w:r>
      <w:r>
        <w:rPr>
          <w:color w:val="auto"/>
          <w:spacing w:val="-3"/>
          <w:highlight w:val="none"/>
        </w:rPr>
        <w:t>的</w:t>
      </w:r>
      <w:r>
        <w:rPr>
          <w:spacing w:val="-3"/>
          <w:highlight w:val="none"/>
        </w:rPr>
        <w:t>相关规定，</w:t>
      </w:r>
      <w:r>
        <w:rPr>
          <w:b/>
          <w:bCs/>
          <w:spacing w:val="-3"/>
          <w:highlight w:val="none"/>
        </w:rPr>
        <w:t>投资者只能</w:t>
      </w:r>
      <w:r>
        <w:rPr>
          <w:b/>
          <w:bCs/>
          <w:spacing w:val="-4"/>
          <w:highlight w:val="none"/>
        </w:rPr>
        <w:t>购买理财产品风险等于或低于</w:t>
      </w:r>
      <w:r>
        <w:rPr>
          <w:b/>
          <w:bCs/>
          <w:spacing w:val="-5"/>
          <w:highlight w:val="none"/>
        </w:rPr>
        <w:t>自身风险承受能力评估结果的理财产品。</w:t>
      </w:r>
      <w:r>
        <w:rPr>
          <w:spacing w:val="-5"/>
          <w:highlight w:val="none"/>
        </w:rPr>
        <w:t>温</w:t>
      </w:r>
      <w:r>
        <w:rPr>
          <w:spacing w:val="-6"/>
          <w:highlight w:val="none"/>
        </w:rPr>
        <w:t>州银行将客户风险评级分为以下五级：</w:t>
      </w:r>
    </w:p>
    <w:p>
      <w:pPr>
        <w:spacing w:line="71" w:lineRule="exact"/>
        <w:rPr>
          <w:highlight w:val="none"/>
        </w:rPr>
      </w:pPr>
    </w:p>
    <w:tbl>
      <w:tblPr>
        <w:tblStyle w:val="6"/>
        <w:tblW w:w="7208" w:type="dxa"/>
        <w:tblInd w:w="564"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top w:w="0" w:type="dxa"/>
          <w:left w:w="0" w:type="dxa"/>
          <w:bottom w:w="0" w:type="dxa"/>
          <w:right w:w="0" w:type="dxa"/>
        </w:tblCellMar>
      </w:tblPr>
      <w:tblGrid>
        <w:gridCol w:w="1924"/>
        <w:gridCol w:w="5284"/>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1924" w:type="dxa"/>
            <w:vAlign w:val="top"/>
          </w:tcPr>
          <w:p>
            <w:pPr>
              <w:pStyle w:val="7"/>
              <w:spacing w:before="86" w:line="221" w:lineRule="auto"/>
              <w:ind w:left="549"/>
              <w:rPr>
                <w:highlight w:val="none"/>
              </w:rPr>
            </w:pPr>
            <w:r>
              <w:rPr>
                <w:b/>
                <w:bCs/>
                <w:spacing w:val="-4"/>
                <w:highlight w:val="none"/>
              </w:rPr>
              <w:t>客户类型</w:t>
            </w:r>
          </w:p>
        </w:tc>
        <w:tc>
          <w:tcPr>
            <w:tcW w:w="5284" w:type="dxa"/>
            <w:vAlign w:val="top"/>
          </w:tcPr>
          <w:p>
            <w:pPr>
              <w:pStyle w:val="7"/>
              <w:spacing w:before="86" w:line="221" w:lineRule="auto"/>
              <w:ind w:left="1694"/>
              <w:rPr>
                <w:highlight w:val="none"/>
              </w:rPr>
            </w:pPr>
            <w:r>
              <w:rPr>
                <w:b/>
                <w:bCs/>
                <w:spacing w:val="-2"/>
                <w:highlight w:val="none"/>
              </w:rPr>
              <w:t>适合购买的产品类型</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9" w:hRule="atLeast"/>
        </w:trPr>
        <w:tc>
          <w:tcPr>
            <w:tcW w:w="1924" w:type="dxa"/>
            <w:vAlign w:val="top"/>
          </w:tcPr>
          <w:p>
            <w:pPr>
              <w:pStyle w:val="7"/>
              <w:spacing w:before="83" w:line="221" w:lineRule="auto"/>
              <w:ind w:left="654"/>
              <w:rPr>
                <w:highlight w:val="none"/>
              </w:rPr>
            </w:pPr>
            <w:r>
              <w:rPr>
                <w:spacing w:val="-2"/>
                <w:highlight w:val="none"/>
              </w:rPr>
              <w:t>保守型</w:t>
            </w:r>
          </w:p>
        </w:tc>
        <w:tc>
          <w:tcPr>
            <w:tcW w:w="5284" w:type="dxa"/>
            <w:vAlign w:val="top"/>
          </w:tcPr>
          <w:p>
            <w:pPr>
              <w:pStyle w:val="7"/>
              <w:spacing w:before="82" w:line="221" w:lineRule="auto"/>
              <w:ind w:left="1930"/>
              <w:rPr>
                <w:highlight w:val="none"/>
              </w:rPr>
            </w:pPr>
            <w:r>
              <w:rPr>
                <w:spacing w:val="-2"/>
                <w:highlight w:val="none"/>
              </w:rPr>
              <w:t>PR1</w:t>
            </w:r>
            <w:r>
              <w:rPr>
                <w:spacing w:val="-39"/>
                <w:highlight w:val="none"/>
              </w:rPr>
              <w:t xml:space="preserve"> </w:t>
            </w:r>
            <w:r>
              <w:rPr>
                <w:spacing w:val="-2"/>
                <w:highlight w:val="none"/>
              </w:rPr>
              <w:t>级风险产品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924" w:type="dxa"/>
            <w:vAlign w:val="top"/>
          </w:tcPr>
          <w:p>
            <w:pPr>
              <w:pStyle w:val="7"/>
              <w:spacing w:before="83" w:line="221" w:lineRule="auto"/>
              <w:ind w:left="654"/>
              <w:rPr>
                <w:highlight w:val="none"/>
              </w:rPr>
            </w:pPr>
            <w:r>
              <w:rPr>
                <w:spacing w:val="-2"/>
                <w:highlight w:val="none"/>
              </w:rPr>
              <w:t>稳健型</w:t>
            </w:r>
          </w:p>
        </w:tc>
        <w:tc>
          <w:tcPr>
            <w:tcW w:w="5284" w:type="dxa"/>
            <w:vAlign w:val="top"/>
          </w:tcPr>
          <w:p>
            <w:pPr>
              <w:pStyle w:val="7"/>
              <w:spacing w:before="83" w:line="221" w:lineRule="auto"/>
              <w:ind w:left="1669"/>
              <w:rPr>
                <w:highlight w:val="none"/>
              </w:rPr>
            </w:pPr>
            <w:r>
              <w:rPr>
                <w:spacing w:val="-1"/>
                <w:highlight w:val="none"/>
              </w:rPr>
              <w:t>PR1、PR2</w:t>
            </w:r>
            <w:r>
              <w:rPr>
                <w:spacing w:val="-44"/>
                <w:highlight w:val="none"/>
              </w:rPr>
              <w:t xml:space="preserve"> </w:t>
            </w:r>
            <w:r>
              <w:rPr>
                <w:spacing w:val="-1"/>
                <w:highlight w:val="none"/>
              </w:rPr>
              <w:t>级风险产品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0" w:hRule="atLeast"/>
        </w:trPr>
        <w:tc>
          <w:tcPr>
            <w:tcW w:w="1924" w:type="dxa"/>
            <w:vAlign w:val="top"/>
          </w:tcPr>
          <w:p>
            <w:pPr>
              <w:pStyle w:val="7"/>
              <w:spacing w:before="87" w:line="221" w:lineRule="auto"/>
              <w:ind w:left="652"/>
              <w:rPr>
                <w:highlight w:val="none"/>
              </w:rPr>
            </w:pPr>
            <w:r>
              <w:rPr>
                <w:spacing w:val="-1"/>
                <w:highlight w:val="none"/>
              </w:rPr>
              <w:t>平衡型</w:t>
            </w:r>
          </w:p>
        </w:tc>
        <w:tc>
          <w:tcPr>
            <w:tcW w:w="5284" w:type="dxa"/>
            <w:vAlign w:val="top"/>
          </w:tcPr>
          <w:p>
            <w:pPr>
              <w:pStyle w:val="7"/>
              <w:spacing w:before="86" w:line="221" w:lineRule="auto"/>
              <w:ind w:left="1405"/>
              <w:rPr>
                <w:highlight w:val="none"/>
              </w:rPr>
            </w:pPr>
            <w:r>
              <w:rPr>
                <w:spacing w:val="-1"/>
                <w:highlight w:val="none"/>
              </w:rPr>
              <w:t>PR1、PR2、PR3</w:t>
            </w:r>
            <w:r>
              <w:rPr>
                <w:spacing w:val="-39"/>
                <w:highlight w:val="none"/>
              </w:rPr>
              <w:t xml:space="preserve"> </w:t>
            </w:r>
            <w:r>
              <w:rPr>
                <w:spacing w:val="-1"/>
                <w:highlight w:val="none"/>
              </w:rPr>
              <w:t>级风险产品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78" w:hRule="atLeast"/>
        </w:trPr>
        <w:tc>
          <w:tcPr>
            <w:tcW w:w="1924" w:type="dxa"/>
            <w:vAlign w:val="top"/>
          </w:tcPr>
          <w:p>
            <w:pPr>
              <w:pStyle w:val="7"/>
              <w:spacing w:before="85" w:line="223" w:lineRule="auto"/>
              <w:ind w:left="651"/>
              <w:rPr>
                <w:highlight w:val="none"/>
              </w:rPr>
            </w:pPr>
            <w:r>
              <w:rPr>
                <w:spacing w:val="-1"/>
                <w:highlight w:val="none"/>
              </w:rPr>
              <w:t>进取型</w:t>
            </w:r>
          </w:p>
        </w:tc>
        <w:tc>
          <w:tcPr>
            <w:tcW w:w="5284" w:type="dxa"/>
            <w:vAlign w:val="top"/>
          </w:tcPr>
          <w:p>
            <w:pPr>
              <w:pStyle w:val="7"/>
              <w:spacing w:before="85" w:line="221" w:lineRule="auto"/>
              <w:ind w:left="1143"/>
              <w:rPr>
                <w:highlight w:val="none"/>
              </w:rPr>
            </w:pPr>
            <w:r>
              <w:rPr>
                <w:spacing w:val="-1"/>
                <w:highlight w:val="none"/>
              </w:rPr>
              <w:t>PR1、PR2、PR3、PR4</w:t>
            </w:r>
            <w:r>
              <w:rPr>
                <w:spacing w:val="-36"/>
                <w:highlight w:val="none"/>
              </w:rPr>
              <w:t xml:space="preserve"> </w:t>
            </w:r>
            <w:r>
              <w:rPr>
                <w:spacing w:val="-1"/>
                <w:highlight w:val="none"/>
              </w:rPr>
              <w:t>级风险产品</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83" w:hRule="atLeast"/>
        </w:trPr>
        <w:tc>
          <w:tcPr>
            <w:tcW w:w="1924" w:type="dxa"/>
            <w:vAlign w:val="top"/>
          </w:tcPr>
          <w:p>
            <w:pPr>
              <w:pStyle w:val="7"/>
              <w:spacing w:before="87" w:line="222" w:lineRule="auto"/>
              <w:ind w:left="652"/>
              <w:rPr>
                <w:highlight w:val="none"/>
              </w:rPr>
            </w:pPr>
            <w:r>
              <w:rPr>
                <w:spacing w:val="-1"/>
                <w:highlight w:val="none"/>
              </w:rPr>
              <w:t>激进型</w:t>
            </w:r>
          </w:p>
        </w:tc>
        <w:tc>
          <w:tcPr>
            <w:tcW w:w="5284" w:type="dxa"/>
            <w:vAlign w:val="top"/>
          </w:tcPr>
          <w:p>
            <w:pPr>
              <w:pStyle w:val="7"/>
              <w:spacing w:before="86" w:line="221" w:lineRule="auto"/>
              <w:ind w:left="1701"/>
              <w:rPr>
                <w:highlight w:val="none"/>
              </w:rPr>
            </w:pPr>
            <w:r>
              <w:rPr>
                <w:spacing w:val="-1"/>
                <w:highlight w:val="none"/>
              </w:rPr>
              <w:t>各个风险等级的产品</w:t>
            </w:r>
          </w:p>
        </w:tc>
      </w:tr>
    </w:tbl>
    <w:p>
      <w:pPr>
        <w:pStyle w:val="3"/>
        <w:spacing w:before="128" w:line="220" w:lineRule="auto"/>
        <w:ind w:left="398"/>
        <w:rPr>
          <w:sz w:val="21"/>
          <w:szCs w:val="21"/>
          <w:highlight w:val="none"/>
        </w:rPr>
      </w:pPr>
      <w:r>
        <w:rPr>
          <w:sz w:val="21"/>
          <w:szCs w:val="21"/>
          <w:highlight w:val="none"/>
        </w:rPr>
        <w:t>（该评级仅是温州银行内部测评结果，仅供投资者参考，不具</w:t>
      </w:r>
      <w:r>
        <w:rPr>
          <w:spacing w:val="-1"/>
          <w:sz w:val="21"/>
          <w:szCs w:val="21"/>
          <w:highlight w:val="none"/>
        </w:rPr>
        <w:t>有任何法律约束力）</w:t>
      </w:r>
    </w:p>
    <w:p>
      <w:pPr>
        <w:pStyle w:val="3"/>
        <w:spacing w:before="121" w:line="219" w:lineRule="auto"/>
        <w:ind w:left="603"/>
        <w:rPr>
          <w:highlight w:val="none"/>
        </w:rPr>
      </w:pPr>
      <w:r>
        <w:rPr>
          <w:spacing w:val="-1"/>
          <w:highlight w:val="none"/>
        </w:rPr>
        <w:t>温州银行将理财产品风险评级分为以下五级：</w:t>
      </w:r>
    </w:p>
    <w:p>
      <w:pPr>
        <w:spacing w:line="70" w:lineRule="exact"/>
        <w:rPr>
          <w:highlight w:val="none"/>
        </w:rPr>
      </w:pPr>
    </w:p>
    <w:tbl>
      <w:tblPr>
        <w:tblStyle w:val="6"/>
        <w:tblW w:w="0" w:type="auto"/>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autofit"/>
        <w:tblCellMar>
          <w:top w:w="0" w:type="dxa"/>
          <w:left w:w="0" w:type="dxa"/>
          <w:bottom w:w="0" w:type="dxa"/>
          <w:right w:w="0" w:type="dxa"/>
        </w:tblCellMar>
      </w:tblPr>
      <w:tblGrid>
        <w:gridCol w:w="1110"/>
        <w:gridCol w:w="5109"/>
        <w:gridCol w:w="2550"/>
      </w:tblGrid>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369" w:hRule="atLeast"/>
        </w:trPr>
        <w:tc>
          <w:tcPr>
            <w:tcW w:w="0" w:type="auto"/>
            <w:vAlign w:val="top"/>
          </w:tcPr>
          <w:p>
            <w:pPr>
              <w:pStyle w:val="7"/>
              <w:spacing w:before="79" w:line="221" w:lineRule="auto"/>
              <w:ind w:left="142"/>
              <w:rPr>
                <w:highlight w:val="none"/>
              </w:rPr>
            </w:pPr>
            <w:r>
              <w:rPr>
                <w:b/>
                <w:bCs/>
                <w:spacing w:val="-3"/>
                <w:highlight w:val="none"/>
              </w:rPr>
              <w:t>理财产品风险等级</w:t>
            </w:r>
          </w:p>
        </w:tc>
        <w:tc>
          <w:tcPr>
            <w:tcW w:w="0" w:type="auto"/>
            <w:vAlign w:val="top"/>
          </w:tcPr>
          <w:p>
            <w:pPr>
              <w:pStyle w:val="7"/>
              <w:spacing w:before="79" w:line="220" w:lineRule="auto"/>
              <w:ind w:left="2564"/>
              <w:rPr>
                <w:highlight w:val="none"/>
              </w:rPr>
            </w:pPr>
            <w:r>
              <w:rPr>
                <w:b/>
                <w:bCs/>
                <w:spacing w:val="-3"/>
                <w:highlight w:val="none"/>
              </w:rPr>
              <w:t>风险特性简要描述</w:t>
            </w:r>
          </w:p>
        </w:tc>
        <w:tc>
          <w:tcPr>
            <w:tcW w:w="0" w:type="auto"/>
            <w:vAlign w:val="top"/>
          </w:tcPr>
          <w:p>
            <w:pPr>
              <w:pStyle w:val="7"/>
              <w:spacing w:before="79" w:line="220" w:lineRule="auto"/>
              <w:ind w:left="0"/>
              <w:rPr>
                <w:rFonts w:hint="default" w:eastAsia="宋体"/>
                <w:b/>
                <w:bCs/>
                <w:spacing w:val="-3"/>
                <w:highlight w:val="none"/>
                <w:lang w:val="en-US" w:eastAsia="zh-CN"/>
              </w:rPr>
            </w:pPr>
            <w:r>
              <w:rPr>
                <w:rFonts w:hint="eastAsia"/>
                <w:b/>
                <w:bCs/>
                <w:spacing w:val="-3"/>
                <w:highlight w:val="none"/>
                <w:lang w:val="en-US" w:eastAsia="zh-CN"/>
              </w:rPr>
              <w:t>适合销售的投资者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68" w:hRule="atLeast"/>
        </w:trPr>
        <w:tc>
          <w:tcPr>
            <w:tcW w:w="0" w:type="auto"/>
            <w:vAlign w:val="top"/>
          </w:tcPr>
          <w:p>
            <w:pPr>
              <w:spacing w:line="362" w:lineRule="auto"/>
              <w:rPr>
                <w:rFonts w:ascii="Arial"/>
                <w:sz w:val="21"/>
                <w:highlight w:val="none"/>
              </w:rPr>
            </w:pPr>
          </w:p>
          <w:p>
            <w:pPr>
              <w:pStyle w:val="7"/>
              <w:spacing w:before="68" w:line="221" w:lineRule="auto"/>
              <w:ind w:left="171"/>
              <w:rPr>
                <w:highlight w:val="none"/>
              </w:rPr>
            </w:pPr>
            <w:r>
              <w:rPr>
                <w:rFonts w:ascii="Calibri" w:hAnsi="Calibri" w:eastAsia="Calibri" w:cs="Calibri"/>
                <w:spacing w:val="-4"/>
                <w:highlight w:val="none"/>
              </w:rPr>
              <w:t>PR1</w:t>
            </w:r>
            <w:r>
              <w:rPr>
                <w:rFonts w:ascii="Calibri" w:hAnsi="Calibri" w:eastAsia="Calibri" w:cs="Calibri"/>
                <w:spacing w:val="23"/>
                <w:w w:val="101"/>
                <w:highlight w:val="none"/>
              </w:rPr>
              <w:t xml:space="preserve"> </w:t>
            </w:r>
            <w:r>
              <w:rPr>
                <w:spacing w:val="-4"/>
                <w:highlight w:val="none"/>
              </w:rPr>
              <w:t>级（谨慎型）</w:t>
            </w:r>
          </w:p>
        </w:tc>
        <w:tc>
          <w:tcPr>
            <w:tcW w:w="0" w:type="auto"/>
            <w:vAlign w:val="top"/>
          </w:tcPr>
          <w:p>
            <w:pPr>
              <w:pStyle w:val="7"/>
              <w:spacing w:before="74" w:line="291" w:lineRule="auto"/>
              <w:ind w:left="113" w:right="107" w:firstLine="1"/>
              <w:jc w:val="both"/>
              <w:rPr>
                <w:highlight w:val="none"/>
              </w:rPr>
            </w:pPr>
            <w:r>
              <w:rPr>
                <w:spacing w:val="2"/>
                <w:highlight w:val="none"/>
              </w:rPr>
              <w:t>该类理财产品的总体风险程度</w:t>
            </w:r>
            <w:r>
              <w:rPr>
                <w:rFonts w:hint="eastAsia"/>
                <w:spacing w:val="2"/>
                <w:highlight w:val="none"/>
                <w:lang w:val="en-US" w:eastAsia="zh-CN"/>
              </w:rPr>
              <w:t>很</w:t>
            </w:r>
            <w:r>
              <w:rPr>
                <w:spacing w:val="2"/>
                <w:highlight w:val="none"/>
              </w:rPr>
              <w:t>低，银行</w:t>
            </w:r>
            <w:r>
              <w:rPr>
                <w:rFonts w:hint="eastAsia"/>
                <w:spacing w:val="2"/>
                <w:highlight w:val="none"/>
                <w:lang w:val="en-US" w:eastAsia="zh-CN"/>
              </w:rPr>
              <w:t>不</w:t>
            </w:r>
            <w:r>
              <w:rPr>
                <w:spacing w:val="2"/>
                <w:highlight w:val="none"/>
              </w:rPr>
              <w:t>承诺本金保障，</w:t>
            </w:r>
            <w:r>
              <w:rPr>
                <w:spacing w:val="1"/>
                <w:highlight w:val="none"/>
              </w:rPr>
              <w:t>产</w:t>
            </w:r>
            <w:r>
              <w:rPr>
                <w:spacing w:val="-2"/>
                <w:highlight w:val="none"/>
              </w:rPr>
              <w:t>品收益随投资表现变动。</w:t>
            </w:r>
          </w:p>
        </w:tc>
        <w:tc>
          <w:tcPr>
            <w:tcW w:w="0" w:type="auto"/>
            <w:vAlign w:val="top"/>
          </w:tcPr>
          <w:p>
            <w:pPr>
              <w:pStyle w:val="7"/>
              <w:spacing w:before="74" w:line="291" w:lineRule="auto"/>
              <w:ind w:left="113" w:right="107" w:firstLine="1"/>
              <w:jc w:val="both"/>
              <w:rPr>
                <w:rFonts w:hint="default" w:eastAsia="宋体"/>
                <w:spacing w:val="2"/>
                <w:highlight w:val="none"/>
                <w:lang w:val="en-US" w:eastAsia="zh-CN"/>
              </w:rPr>
            </w:pPr>
            <w:r>
              <w:rPr>
                <w:rFonts w:hint="default" w:eastAsia="宋体"/>
                <w:spacing w:val="2"/>
                <w:highlight w:val="none"/>
                <w:lang w:val="en-US" w:eastAsia="zh-CN"/>
              </w:rPr>
              <w:t>保守型、稳健型、平衡型、进取型和激进型</w:t>
            </w:r>
            <w:r>
              <w:rPr>
                <w:rFonts w:hint="eastAsia"/>
                <w:spacing w:val="2"/>
                <w:highlight w:val="none"/>
                <w:lang w:val="en-US" w:eastAsia="zh-CN"/>
              </w:rPr>
              <w:t>的投资者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0" w:type="auto"/>
            <w:vAlign w:val="top"/>
          </w:tcPr>
          <w:p>
            <w:pPr>
              <w:pStyle w:val="7"/>
              <w:spacing w:before="256" w:line="221" w:lineRule="auto"/>
              <w:ind w:left="171"/>
              <w:rPr>
                <w:highlight w:val="none"/>
              </w:rPr>
            </w:pPr>
            <w:r>
              <w:rPr>
                <w:rFonts w:ascii="Calibri" w:hAnsi="Calibri" w:eastAsia="Calibri" w:cs="Calibri"/>
                <w:spacing w:val="-4"/>
                <w:highlight w:val="none"/>
              </w:rPr>
              <w:t>PR2</w:t>
            </w:r>
            <w:r>
              <w:rPr>
                <w:rFonts w:ascii="Calibri" w:hAnsi="Calibri" w:eastAsia="Calibri" w:cs="Calibri"/>
                <w:spacing w:val="17"/>
                <w:w w:val="101"/>
                <w:highlight w:val="none"/>
              </w:rPr>
              <w:t xml:space="preserve"> </w:t>
            </w:r>
            <w:r>
              <w:rPr>
                <w:spacing w:val="-4"/>
                <w:highlight w:val="none"/>
              </w:rPr>
              <w:t>级（稳健型）</w:t>
            </w:r>
          </w:p>
        </w:tc>
        <w:tc>
          <w:tcPr>
            <w:tcW w:w="0" w:type="auto"/>
            <w:vAlign w:val="top"/>
          </w:tcPr>
          <w:p>
            <w:pPr>
              <w:pStyle w:val="7"/>
              <w:spacing w:before="76" w:line="279" w:lineRule="auto"/>
              <w:ind w:left="112" w:right="107" w:firstLine="3"/>
              <w:rPr>
                <w:highlight w:val="none"/>
              </w:rPr>
            </w:pPr>
            <w:r>
              <w:rPr>
                <w:spacing w:val="2"/>
                <w:highlight w:val="none"/>
              </w:rPr>
              <w:t>该类理财产品的总体风险程度较低，银行不承诺本金保障</w:t>
            </w:r>
            <w:r>
              <w:rPr>
                <w:spacing w:val="-1"/>
                <w:highlight w:val="none"/>
              </w:rPr>
              <w:t>，产品收益随投资表现变动。</w:t>
            </w:r>
          </w:p>
        </w:tc>
        <w:tc>
          <w:tcPr>
            <w:tcW w:w="0" w:type="auto"/>
            <w:vAlign w:val="top"/>
          </w:tcPr>
          <w:p>
            <w:pPr>
              <w:pStyle w:val="7"/>
              <w:spacing w:before="76" w:line="279" w:lineRule="auto"/>
              <w:ind w:left="112" w:right="107" w:firstLine="3"/>
              <w:rPr>
                <w:spacing w:val="2"/>
                <w:highlight w:val="none"/>
              </w:rPr>
            </w:pPr>
            <w:r>
              <w:rPr>
                <w:rFonts w:hint="default" w:eastAsia="宋体"/>
                <w:spacing w:val="2"/>
                <w:highlight w:val="none"/>
                <w:lang w:val="en-US" w:eastAsia="zh-CN"/>
              </w:rPr>
              <w:t>稳健型、平衡型、进取型和激进型</w:t>
            </w:r>
            <w:r>
              <w:rPr>
                <w:rFonts w:hint="eastAsia"/>
                <w:spacing w:val="2"/>
                <w:highlight w:val="none"/>
                <w:lang w:val="en-US" w:eastAsia="zh-CN"/>
              </w:rPr>
              <w:t>的投资者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4" w:hRule="atLeast"/>
        </w:trPr>
        <w:tc>
          <w:tcPr>
            <w:tcW w:w="0" w:type="auto"/>
            <w:vAlign w:val="top"/>
          </w:tcPr>
          <w:p>
            <w:pPr>
              <w:pStyle w:val="7"/>
              <w:spacing w:before="258" w:line="221" w:lineRule="auto"/>
              <w:ind w:left="171"/>
              <w:rPr>
                <w:highlight w:val="none"/>
              </w:rPr>
            </w:pPr>
            <w:r>
              <w:rPr>
                <w:rFonts w:ascii="Calibri" w:hAnsi="Calibri" w:eastAsia="Calibri" w:cs="Calibri"/>
                <w:spacing w:val="-4"/>
                <w:highlight w:val="none"/>
              </w:rPr>
              <w:t>PR3</w:t>
            </w:r>
            <w:r>
              <w:rPr>
                <w:rFonts w:ascii="Calibri" w:hAnsi="Calibri" w:eastAsia="Calibri" w:cs="Calibri"/>
                <w:spacing w:val="17"/>
                <w:w w:val="101"/>
                <w:highlight w:val="none"/>
              </w:rPr>
              <w:t xml:space="preserve"> </w:t>
            </w:r>
            <w:r>
              <w:rPr>
                <w:spacing w:val="-4"/>
                <w:highlight w:val="none"/>
              </w:rPr>
              <w:t>级（平衡型）</w:t>
            </w:r>
          </w:p>
        </w:tc>
        <w:tc>
          <w:tcPr>
            <w:tcW w:w="0" w:type="auto"/>
            <w:vAlign w:val="top"/>
          </w:tcPr>
          <w:p>
            <w:pPr>
              <w:pStyle w:val="7"/>
              <w:spacing w:before="81" w:line="278" w:lineRule="auto"/>
              <w:ind w:left="114" w:right="107"/>
              <w:rPr>
                <w:highlight w:val="none"/>
              </w:rPr>
            </w:pPr>
            <w:r>
              <w:rPr>
                <w:spacing w:val="2"/>
                <w:highlight w:val="none"/>
              </w:rPr>
              <w:t>该类理财产品的总体风险程度适中，银行不承诺本金保障，产品收益随</w:t>
            </w:r>
            <w:r>
              <w:rPr>
                <w:spacing w:val="-4"/>
                <w:highlight w:val="none"/>
              </w:rPr>
              <w:t>投资表现变动。</w:t>
            </w:r>
          </w:p>
        </w:tc>
        <w:tc>
          <w:tcPr>
            <w:tcW w:w="0" w:type="auto"/>
            <w:vAlign w:val="top"/>
          </w:tcPr>
          <w:p>
            <w:pPr>
              <w:pStyle w:val="7"/>
              <w:spacing w:before="81" w:line="278" w:lineRule="auto"/>
              <w:ind w:left="114" w:right="107"/>
              <w:rPr>
                <w:spacing w:val="2"/>
                <w:highlight w:val="none"/>
              </w:rPr>
            </w:pPr>
            <w:r>
              <w:rPr>
                <w:rFonts w:hint="default" w:eastAsia="宋体"/>
                <w:spacing w:val="2"/>
                <w:highlight w:val="none"/>
                <w:lang w:val="en-US" w:eastAsia="zh-CN"/>
              </w:rPr>
              <w:t>平衡型、进取型和激进型</w:t>
            </w:r>
            <w:r>
              <w:rPr>
                <w:rFonts w:hint="eastAsia"/>
                <w:spacing w:val="2"/>
                <w:highlight w:val="none"/>
                <w:lang w:val="en-US" w:eastAsia="zh-CN"/>
              </w:rPr>
              <w:t>的投资者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1" w:hRule="atLeast"/>
        </w:trPr>
        <w:tc>
          <w:tcPr>
            <w:tcW w:w="0" w:type="auto"/>
            <w:vAlign w:val="top"/>
          </w:tcPr>
          <w:p>
            <w:pPr>
              <w:pStyle w:val="7"/>
              <w:spacing w:before="258" w:line="223" w:lineRule="auto"/>
              <w:ind w:left="171"/>
              <w:rPr>
                <w:highlight w:val="none"/>
              </w:rPr>
            </w:pPr>
            <w:r>
              <w:rPr>
                <w:rFonts w:ascii="Calibri" w:hAnsi="Calibri" w:eastAsia="Calibri" w:cs="Calibri"/>
                <w:spacing w:val="-4"/>
                <w:highlight w:val="none"/>
              </w:rPr>
              <w:t>PR4</w:t>
            </w:r>
            <w:r>
              <w:rPr>
                <w:rFonts w:ascii="Calibri" w:hAnsi="Calibri" w:eastAsia="Calibri" w:cs="Calibri"/>
                <w:spacing w:val="17"/>
                <w:w w:val="101"/>
                <w:highlight w:val="none"/>
              </w:rPr>
              <w:t xml:space="preserve"> </w:t>
            </w:r>
            <w:r>
              <w:rPr>
                <w:spacing w:val="-4"/>
                <w:highlight w:val="none"/>
              </w:rPr>
              <w:t>级（进取型）</w:t>
            </w:r>
          </w:p>
        </w:tc>
        <w:tc>
          <w:tcPr>
            <w:tcW w:w="0" w:type="auto"/>
            <w:vAlign w:val="top"/>
          </w:tcPr>
          <w:p>
            <w:pPr>
              <w:pStyle w:val="7"/>
              <w:spacing w:before="78" w:line="278" w:lineRule="auto"/>
              <w:ind w:left="114" w:right="107"/>
              <w:rPr>
                <w:highlight w:val="none"/>
              </w:rPr>
            </w:pPr>
            <w:r>
              <w:rPr>
                <w:spacing w:val="2"/>
                <w:highlight w:val="none"/>
              </w:rPr>
              <w:t>该类理财产品的总体风险程度较高，银行不承诺本金保障，产品收益随</w:t>
            </w:r>
            <w:r>
              <w:rPr>
                <w:spacing w:val="-4"/>
                <w:highlight w:val="none"/>
              </w:rPr>
              <w:t>投资表现变动。</w:t>
            </w:r>
          </w:p>
        </w:tc>
        <w:tc>
          <w:tcPr>
            <w:tcW w:w="0" w:type="auto"/>
            <w:vAlign w:val="top"/>
          </w:tcPr>
          <w:p>
            <w:pPr>
              <w:pStyle w:val="7"/>
              <w:spacing w:before="78" w:line="278" w:lineRule="auto"/>
              <w:ind w:left="114" w:right="107"/>
              <w:rPr>
                <w:spacing w:val="2"/>
                <w:highlight w:val="none"/>
              </w:rPr>
            </w:pPr>
            <w:r>
              <w:rPr>
                <w:rFonts w:hint="default" w:eastAsia="宋体"/>
                <w:spacing w:val="2"/>
                <w:highlight w:val="none"/>
                <w:lang w:val="en-US" w:eastAsia="zh-CN"/>
              </w:rPr>
              <w:t>进取型和激进型</w:t>
            </w:r>
            <w:r>
              <w:rPr>
                <w:rFonts w:hint="eastAsia"/>
                <w:spacing w:val="2"/>
                <w:highlight w:val="none"/>
                <w:lang w:val="en-US" w:eastAsia="zh-CN"/>
              </w:rPr>
              <w:t>的投资者</w:t>
            </w:r>
          </w:p>
        </w:tc>
      </w:tr>
      <w:tr>
        <w:tblPrEx>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CellMar>
            <w:top w:w="0" w:type="dxa"/>
            <w:left w:w="0" w:type="dxa"/>
            <w:bottom w:w="0" w:type="dxa"/>
            <w:right w:w="0" w:type="dxa"/>
          </w:tblCellMar>
        </w:tblPrEx>
        <w:trPr>
          <w:trHeight w:val="727" w:hRule="atLeast"/>
        </w:trPr>
        <w:tc>
          <w:tcPr>
            <w:tcW w:w="0" w:type="auto"/>
            <w:vAlign w:val="top"/>
          </w:tcPr>
          <w:p>
            <w:pPr>
              <w:pStyle w:val="7"/>
              <w:spacing w:before="260" w:line="222" w:lineRule="auto"/>
              <w:ind w:left="171"/>
              <w:rPr>
                <w:highlight w:val="none"/>
              </w:rPr>
            </w:pPr>
            <w:r>
              <w:rPr>
                <w:rFonts w:ascii="Calibri" w:hAnsi="Calibri" w:eastAsia="Calibri" w:cs="Calibri"/>
                <w:spacing w:val="-4"/>
                <w:highlight w:val="none"/>
              </w:rPr>
              <w:t>PR5</w:t>
            </w:r>
            <w:r>
              <w:rPr>
                <w:rFonts w:ascii="Calibri" w:hAnsi="Calibri" w:eastAsia="Calibri" w:cs="Calibri"/>
                <w:spacing w:val="17"/>
                <w:w w:val="101"/>
                <w:highlight w:val="none"/>
              </w:rPr>
              <w:t xml:space="preserve"> </w:t>
            </w:r>
            <w:r>
              <w:rPr>
                <w:spacing w:val="-4"/>
                <w:highlight w:val="none"/>
              </w:rPr>
              <w:t>级（激进型）</w:t>
            </w:r>
          </w:p>
        </w:tc>
        <w:tc>
          <w:tcPr>
            <w:tcW w:w="0" w:type="auto"/>
            <w:vAlign w:val="top"/>
          </w:tcPr>
          <w:p>
            <w:pPr>
              <w:pStyle w:val="7"/>
              <w:spacing w:before="79" w:line="280" w:lineRule="auto"/>
              <w:ind w:left="120" w:right="107" w:hanging="5"/>
              <w:rPr>
                <w:highlight w:val="none"/>
              </w:rPr>
            </w:pPr>
            <w:r>
              <w:rPr>
                <w:spacing w:val="2"/>
                <w:highlight w:val="none"/>
              </w:rPr>
              <w:t>该类理财产品的总体风险程度高，银行不承诺本金保障，产品收益随投</w:t>
            </w:r>
            <w:r>
              <w:rPr>
                <w:spacing w:val="-3"/>
                <w:highlight w:val="none"/>
              </w:rPr>
              <w:t>资表现变动。</w:t>
            </w:r>
          </w:p>
        </w:tc>
        <w:tc>
          <w:tcPr>
            <w:tcW w:w="0" w:type="auto"/>
            <w:vAlign w:val="top"/>
          </w:tcPr>
          <w:p>
            <w:pPr>
              <w:pStyle w:val="7"/>
              <w:spacing w:before="79" w:line="280" w:lineRule="auto"/>
              <w:ind w:left="120" w:right="107" w:hanging="5"/>
              <w:rPr>
                <w:spacing w:val="2"/>
                <w:highlight w:val="none"/>
              </w:rPr>
            </w:pPr>
            <w:r>
              <w:rPr>
                <w:rFonts w:hint="default" w:eastAsia="宋体"/>
                <w:spacing w:val="2"/>
                <w:highlight w:val="none"/>
                <w:lang w:val="en-US" w:eastAsia="zh-CN"/>
              </w:rPr>
              <w:t>激进型</w:t>
            </w:r>
            <w:r>
              <w:rPr>
                <w:rFonts w:hint="eastAsia"/>
                <w:spacing w:val="2"/>
                <w:highlight w:val="none"/>
                <w:lang w:val="en-US" w:eastAsia="zh-CN"/>
              </w:rPr>
              <w:t>的投资者</w:t>
            </w:r>
          </w:p>
        </w:tc>
      </w:tr>
    </w:tbl>
    <w:p>
      <w:pPr>
        <w:pStyle w:val="3"/>
        <w:spacing w:before="128" w:line="220" w:lineRule="auto"/>
        <w:ind w:left="496"/>
        <w:rPr>
          <w:sz w:val="21"/>
          <w:szCs w:val="21"/>
          <w:highlight w:val="none"/>
        </w:rPr>
      </w:pPr>
      <w:r>
        <w:rPr>
          <w:sz w:val="21"/>
          <w:szCs w:val="21"/>
          <w:highlight w:val="none"/>
        </w:rPr>
        <w:t>（该评级仅是温州银行内部测评结果，仅供投资者参考，不具</w:t>
      </w:r>
      <w:r>
        <w:rPr>
          <w:spacing w:val="-1"/>
          <w:sz w:val="21"/>
          <w:szCs w:val="21"/>
          <w:highlight w:val="none"/>
        </w:rPr>
        <w:t>有任何法律约束力）</w:t>
      </w:r>
    </w:p>
    <w:p>
      <w:pPr>
        <w:pStyle w:val="3"/>
        <w:numPr>
          <w:ilvl w:val="0"/>
          <w:numId w:val="0"/>
        </w:numPr>
        <w:spacing w:before="202" w:line="220" w:lineRule="auto"/>
        <w:ind w:left="722"/>
        <w:rPr>
          <w:rFonts w:hint="eastAsia"/>
          <w:spacing w:val="-2"/>
          <w:highlight w:val="none"/>
          <w:lang w:val="en-US" w:eastAsia="zh-CN"/>
        </w:rPr>
      </w:pPr>
      <w:r>
        <w:rPr>
          <w:rFonts w:hint="eastAsia"/>
          <w:spacing w:val="-2"/>
          <w:highlight w:val="none"/>
          <w:lang w:val="en-US" w:eastAsia="zh-CN"/>
        </w:rPr>
        <w:t>（四）风险承受能力评估流程</w:t>
      </w:r>
    </w:p>
    <w:p>
      <w:pPr>
        <w:pStyle w:val="3"/>
        <w:spacing w:before="182" w:line="289" w:lineRule="auto"/>
        <w:ind w:left="140" w:right="346" w:firstLine="467"/>
        <w:rPr>
          <w:rFonts w:hint="eastAsia" w:eastAsia="宋体"/>
          <w:b/>
          <w:bCs/>
          <w:spacing w:val="-2"/>
          <w:highlight w:val="none"/>
          <w:lang w:val="en-US" w:eastAsia="zh-CN"/>
        </w:rPr>
      </w:pPr>
      <w:r>
        <w:rPr>
          <w:rFonts w:hint="eastAsia"/>
          <w:spacing w:val="-2"/>
          <w:highlight w:val="none"/>
          <w:lang w:val="en-US" w:eastAsia="zh-CN"/>
        </w:rPr>
        <w:t>1、</w:t>
      </w:r>
      <w:r>
        <w:rPr>
          <w:rFonts w:hint="default"/>
          <w:spacing w:val="-2"/>
          <w:highlight w:val="none"/>
          <w:lang w:val="en-US" w:eastAsia="zh-CN"/>
        </w:rPr>
        <w:t>本行在营业网点对首次购买理财产品的个人和机构投资者进行风险承受能力评估。</w:t>
      </w:r>
      <w:r>
        <w:rPr>
          <w:rFonts w:hint="default"/>
          <w:b/>
          <w:bCs/>
          <w:spacing w:val="-2"/>
          <w:highlight w:val="none"/>
          <w:lang w:val="en-US" w:eastAsia="zh-CN"/>
        </w:rPr>
        <w:t>评估结果有效期为一年，风险承受能力评估测试每日不超过2次，一年内累计不得超过8次。评估结果过期的，再次购买理财产品时须在本行网点或电子渠道完成风险承受能力评估</w:t>
      </w:r>
      <w:r>
        <w:rPr>
          <w:rFonts w:hint="eastAsia"/>
          <w:b/>
          <w:bCs/>
          <w:spacing w:val="-2"/>
          <w:highlight w:val="none"/>
          <w:lang w:val="en-US" w:eastAsia="zh-CN"/>
        </w:rPr>
        <w:t>。</w:t>
      </w:r>
    </w:p>
    <w:p>
      <w:pPr>
        <w:pStyle w:val="3"/>
        <w:spacing w:before="182" w:line="289" w:lineRule="auto"/>
        <w:ind w:left="140" w:right="346" w:firstLine="467"/>
        <w:rPr>
          <w:rFonts w:hint="default"/>
          <w:spacing w:val="-2"/>
          <w:highlight w:val="none"/>
          <w:lang w:val="en-US" w:eastAsia="zh-CN"/>
        </w:rPr>
      </w:pPr>
      <w:r>
        <w:rPr>
          <w:rFonts w:hint="eastAsia"/>
          <w:spacing w:val="-2"/>
          <w:highlight w:val="none"/>
          <w:lang w:val="en-US" w:eastAsia="zh-CN"/>
        </w:rPr>
        <w:t>2、</w:t>
      </w:r>
      <w:r>
        <w:rPr>
          <w:rFonts w:hint="default"/>
          <w:spacing w:val="-2"/>
          <w:highlight w:val="none"/>
          <w:lang w:val="en-US" w:eastAsia="zh-CN"/>
        </w:rPr>
        <w:t>投资者</w:t>
      </w:r>
      <w:r>
        <w:rPr>
          <w:rFonts w:hint="eastAsia"/>
          <w:spacing w:val="-2"/>
          <w:highlight w:val="none"/>
          <w:lang w:val="en-US" w:eastAsia="zh-CN"/>
        </w:rPr>
        <w:t>填写风险承受能力评估问卷</w:t>
      </w:r>
      <w:r>
        <w:rPr>
          <w:rFonts w:hint="default"/>
          <w:spacing w:val="-2"/>
          <w:highlight w:val="none"/>
          <w:lang w:val="en-US" w:eastAsia="zh-CN"/>
        </w:rPr>
        <w:t>。</w:t>
      </w:r>
    </w:p>
    <w:p>
      <w:pPr>
        <w:pStyle w:val="3"/>
        <w:spacing w:before="182" w:line="289" w:lineRule="auto"/>
        <w:ind w:left="140" w:right="346" w:firstLine="467"/>
        <w:rPr>
          <w:rFonts w:hint="eastAsia"/>
          <w:spacing w:val="-2"/>
          <w:highlight w:val="none"/>
          <w:lang w:val="en-US" w:eastAsia="zh-CN"/>
        </w:rPr>
      </w:pPr>
      <w:r>
        <w:rPr>
          <w:rFonts w:hint="eastAsia"/>
          <w:spacing w:val="-2"/>
          <w:highlight w:val="none"/>
          <w:lang w:val="en-US" w:eastAsia="zh-CN"/>
        </w:rPr>
        <w:t>3、生成相应的风险承受能力评估结果。</w:t>
      </w:r>
    </w:p>
    <w:p>
      <w:pPr>
        <w:pStyle w:val="3"/>
        <w:spacing w:before="182" w:line="289" w:lineRule="auto"/>
        <w:ind w:left="140" w:right="346" w:firstLine="467"/>
        <w:rPr>
          <w:rFonts w:hint="default"/>
          <w:spacing w:val="-2"/>
          <w:highlight w:val="none"/>
          <w:lang w:val="en-US" w:eastAsia="zh-CN"/>
        </w:rPr>
      </w:pPr>
      <w:r>
        <w:rPr>
          <w:rFonts w:hint="eastAsia"/>
          <w:spacing w:val="-2"/>
          <w:highlight w:val="none"/>
          <w:lang w:val="en-US" w:eastAsia="zh-CN"/>
        </w:rPr>
        <w:t>4、投资者对评估结果进行确认。</w:t>
      </w:r>
    </w:p>
    <w:p>
      <w:pPr>
        <w:pStyle w:val="3"/>
        <w:spacing w:before="202" w:line="220" w:lineRule="auto"/>
        <w:ind w:left="722"/>
        <w:rPr>
          <w:highlight w:val="none"/>
        </w:rPr>
      </w:pPr>
      <w:r>
        <w:rPr>
          <w:spacing w:val="-2"/>
          <w:highlight w:val="none"/>
        </w:rPr>
        <w:t>三、相关信息披露</w:t>
      </w:r>
    </w:p>
    <w:p>
      <w:pPr>
        <w:pStyle w:val="3"/>
        <w:spacing w:before="182" w:line="289" w:lineRule="auto"/>
        <w:ind w:left="140" w:right="346" w:firstLine="467"/>
        <w:rPr>
          <w:highlight w:val="none"/>
        </w:rPr>
      </w:pPr>
      <w:r>
        <w:rPr>
          <w:spacing w:val="-4"/>
          <w:highlight w:val="none"/>
        </w:rPr>
        <w:t>（一）温州银行将在产品到期日</w:t>
      </w:r>
      <w:r>
        <w:rPr>
          <w:spacing w:val="-47"/>
          <w:highlight w:val="none"/>
        </w:rPr>
        <w:t xml:space="preserve"> </w:t>
      </w:r>
      <w:r>
        <w:rPr>
          <w:rFonts w:ascii="Calibri" w:hAnsi="Calibri" w:eastAsia="Calibri" w:cs="Calibri"/>
          <w:spacing w:val="-4"/>
          <w:highlight w:val="none"/>
        </w:rPr>
        <w:t>3</w:t>
      </w:r>
      <w:r>
        <w:rPr>
          <w:rFonts w:ascii="Calibri" w:hAnsi="Calibri" w:eastAsia="Calibri" w:cs="Calibri"/>
          <w:spacing w:val="16"/>
          <w:highlight w:val="none"/>
        </w:rPr>
        <w:t xml:space="preserve"> </w:t>
      </w:r>
      <w:r>
        <w:rPr>
          <w:spacing w:val="-4"/>
          <w:highlight w:val="none"/>
        </w:rPr>
        <w:t>个工作日内，在温州银行网站或相</w:t>
      </w:r>
      <w:r>
        <w:rPr>
          <w:spacing w:val="-5"/>
          <w:highlight w:val="none"/>
        </w:rPr>
        <w:t>关营业</w:t>
      </w:r>
      <w:r>
        <w:rPr>
          <w:spacing w:val="-6"/>
          <w:highlight w:val="none"/>
        </w:rPr>
        <w:t>网点发布到期清算公告。</w:t>
      </w:r>
    </w:p>
    <w:p>
      <w:pPr>
        <w:pStyle w:val="3"/>
        <w:spacing w:before="185" w:line="299" w:lineRule="auto"/>
        <w:ind w:left="124" w:right="359" w:firstLine="484"/>
        <w:rPr>
          <w:b/>
          <w:bCs/>
          <w:highlight w:val="none"/>
        </w:rPr>
      </w:pPr>
      <w:r>
        <w:rPr>
          <w:spacing w:val="-4"/>
          <w:highlight w:val="none"/>
        </w:rPr>
        <w:t>（二）</w:t>
      </w:r>
      <w:r>
        <w:rPr>
          <w:b/>
          <w:bCs/>
          <w:spacing w:val="-4"/>
          <w:highlight w:val="none"/>
        </w:rPr>
        <w:t>如温州银行对理财产品投资范围、投资品种及收费标准、方式等进行</w:t>
      </w:r>
      <w:r>
        <w:rPr>
          <w:b/>
          <w:bCs/>
          <w:spacing w:val="-2"/>
          <w:highlight w:val="none"/>
        </w:rPr>
        <w:t>调整，将提前</w:t>
      </w:r>
      <w:r>
        <w:rPr>
          <w:b/>
          <w:bCs/>
          <w:spacing w:val="-48"/>
          <w:highlight w:val="none"/>
        </w:rPr>
        <w:t xml:space="preserve"> </w:t>
      </w:r>
      <w:r>
        <w:rPr>
          <w:rFonts w:ascii="Calibri" w:hAnsi="Calibri" w:eastAsia="Calibri" w:cs="Calibri"/>
          <w:b/>
          <w:bCs/>
          <w:spacing w:val="-2"/>
          <w:highlight w:val="none"/>
        </w:rPr>
        <w:t>3</w:t>
      </w:r>
      <w:r>
        <w:rPr>
          <w:rFonts w:ascii="Calibri" w:hAnsi="Calibri" w:eastAsia="Calibri" w:cs="Calibri"/>
          <w:b/>
          <w:bCs/>
          <w:spacing w:val="16"/>
          <w:highlight w:val="none"/>
        </w:rPr>
        <w:t xml:space="preserve"> </w:t>
      </w:r>
      <w:r>
        <w:rPr>
          <w:b/>
          <w:bCs/>
          <w:spacing w:val="-2"/>
          <w:highlight w:val="none"/>
        </w:rPr>
        <w:t>个工作日在温州银行网站或相关营业网点发布信息公</w:t>
      </w:r>
      <w:r>
        <w:rPr>
          <w:b/>
          <w:bCs/>
          <w:spacing w:val="-3"/>
          <w:highlight w:val="none"/>
        </w:rPr>
        <w:t>告。</w:t>
      </w:r>
    </w:p>
    <w:p>
      <w:pPr>
        <w:pStyle w:val="3"/>
        <w:spacing w:before="158" w:line="289" w:lineRule="auto"/>
        <w:ind w:left="121" w:right="277" w:firstLine="487"/>
        <w:rPr>
          <w:highlight w:val="none"/>
        </w:rPr>
      </w:pPr>
      <w:r>
        <w:rPr>
          <w:spacing w:val="-4"/>
          <w:highlight w:val="none"/>
        </w:rPr>
        <w:t xml:space="preserve">（三）如理财产品提前终止，温州银行将于实际终止日的前 </w:t>
      </w:r>
      <w:r>
        <w:rPr>
          <w:rFonts w:ascii="Calibri" w:hAnsi="Calibri" w:eastAsia="Calibri" w:cs="Calibri"/>
          <w:spacing w:val="-4"/>
          <w:highlight w:val="none"/>
        </w:rPr>
        <w:t>1</w:t>
      </w:r>
      <w:r>
        <w:rPr>
          <w:rFonts w:ascii="Calibri" w:hAnsi="Calibri" w:eastAsia="Calibri" w:cs="Calibri"/>
          <w:spacing w:val="39"/>
          <w:highlight w:val="none"/>
        </w:rPr>
        <w:t xml:space="preserve"> </w:t>
      </w:r>
      <w:r>
        <w:rPr>
          <w:spacing w:val="-4"/>
          <w:highlight w:val="none"/>
        </w:rPr>
        <w:t>个工作日内，</w:t>
      </w:r>
      <w:r>
        <w:rPr>
          <w:spacing w:val="-2"/>
          <w:highlight w:val="none"/>
        </w:rPr>
        <w:t>在温州银行网站或相关营业网点发布信息公告。</w:t>
      </w:r>
    </w:p>
    <w:p>
      <w:pPr>
        <w:pStyle w:val="3"/>
        <w:spacing w:before="185" w:line="219" w:lineRule="auto"/>
        <w:ind w:left="608"/>
        <w:rPr>
          <w:highlight w:val="none"/>
        </w:rPr>
      </w:pPr>
      <w:r>
        <w:rPr>
          <w:spacing w:val="-2"/>
          <w:highlight w:val="none"/>
        </w:rPr>
        <w:t>（四）温州银行将在理财期内在温州银行网站对本产品说明书予以公示。</w:t>
      </w:r>
    </w:p>
    <w:p>
      <w:pPr>
        <w:pStyle w:val="3"/>
        <w:spacing w:before="184" w:line="220" w:lineRule="auto"/>
        <w:ind w:left="624"/>
        <w:rPr>
          <w:highlight w:val="none"/>
        </w:rPr>
      </w:pPr>
      <w:r>
        <w:rPr>
          <w:spacing w:val="-3"/>
          <w:highlight w:val="none"/>
        </w:rPr>
        <w:t>四、投诉处理与联系方式</w:t>
      </w:r>
    </w:p>
    <w:p>
      <w:pPr>
        <w:pStyle w:val="3"/>
        <w:spacing w:before="182" w:line="376" w:lineRule="auto"/>
        <w:ind w:left="150" w:right="349" w:firstLine="454"/>
      </w:pPr>
      <w:r>
        <w:rPr>
          <w:spacing w:val="-3"/>
          <w:highlight w:val="none"/>
        </w:rPr>
        <w:t>投资者对本理财计划有任何意见或异议，请联系温</w:t>
      </w:r>
      <w:r>
        <w:rPr>
          <w:spacing w:val="-4"/>
          <w:highlight w:val="none"/>
        </w:rPr>
        <w:t>州银行营业网点，也可致</w:t>
      </w:r>
      <w:r>
        <w:rPr>
          <w:spacing w:val="-8"/>
        </w:rPr>
        <w:t>电温州银行客户服务热线</w:t>
      </w:r>
      <w:r>
        <w:rPr>
          <w:spacing w:val="9"/>
        </w:rPr>
        <w:t>：（</w:t>
      </w:r>
      <w:r>
        <w:rPr>
          <w:rFonts w:ascii="Calibri" w:hAnsi="Calibri" w:eastAsia="Calibri" w:cs="Calibri"/>
          <w:spacing w:val="-8"/>
        </w:rPr>
        <w:t>0577</w:t>
      </w:r>
      <w:r>
        <w:rPr>
          <w:spacing w:val="-8"/>
        </w:rPr>
        <w:t>）</w:t>
      </w:r>
      <w:r>
        <w:rPr>
          <w:rFonts w:ascii="Calibri" w:hAnsi="Calibri" w:eastAsia="Calibri" w:cs="Calibri"/>
          <w:spacing w:val="-8"/>
        </w:rPr>
        <w:t>96699</w:t>
      </w:r>
      <w:r>
        <w:rPr>
          <w:spacing w:val="-8"/>
        </w:rPr>
        <w:t>。</w:t>
      </w:r>
    </w:p>
    <w:sectPr>
      <w:footerReference r:id="rId5" w:type="default"/>
      <w:pgSz w:w="11907" w:h="16839"/>
      <w:pgMar w:top="1431" w:right="1452" w:bottom="1177" w:left="1687" w:header="0" w:footer="948" w:gutter="0"/>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spacing w:line="238" w:lineRule="auto"/>
      <w:ind w:left="4229"/>
      <w:rPr>
        <w:rFonts w:ascii="Calibri" w:hAnsi="Calibri" w:eastAsia="Calibri" w:cs="Calibri"/>
        <w:sz w:val="18"/>
        <w:szCs w:val="18"/>
      </w:rPr>
    </w:pPr>
    <w:r>
      <w:rPr>
        <w:rFonts w:ascii="Calibri" w:hAnsi="Calibri" w:eastAsia="Calibri" w:cs="Calibri"/>
        <w:sz w:val="18"/>
        <w:szCs w:val="18"/>
      </w:rPr>
      <w:t>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240" w:lineRule="auto"/>
      </w:pPr>
      <w:r>
        <w:separator/>
      </w:r>
    </w:p>
  </w:footnote>
  <w:footnote w:type="continuationSeparator" w:id="1">
    <w:p>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isplayBackgroundShape w:val="1"/>
  <w:trackRevisions w:val="1"/>
  <w:documentProtection w:enforcement="0"/>
  <w:characterSpacingControl w:val="doNotCompress"/>
  <w:footnotePr>
    <w:footnote w:id="0"/>
    <w:footnote w:id="1"/>
  </w:footnotePr>
  <w:endnotePr>
    <w:endnote w:id="0"/>
    <w:endnote w:id="1"/>
  </w:endnotePr>
  <w:compat>
    <w:spaceForUL/>
    <w:ulTrailSpace/>
    <w:useFELayout/>
    <w:compatSetting w:name="compatibilityMode" w:uri="http://schemas.microsoft.com/office/word" w:val="14"/>
  </w:compat>
  <w:rsids>
    <w:rsidRoot w:val="00000000"/>
    <w:rsid w:val="0A2C1FC4"/>
    <w:rsid w:val="20106BDD"/>
    <w:rsid w:val="246871F5"/>
    <w:rsid w:val="29CF1FA5"/>
    <w:rsid w:val="29E570F2"/>
    <w:rsid w:val="4313479C"/>
    <w:rsid w:val="4FCC777F"/>
    <w:rsid w:val="588D6F8F"/>
    <w:rsid w:val="7930633E"/>
    <w:rsid w:val="7DAF10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Arial" w:hAnsi="Arial" w:eastAsia="Arial" w:cs="Arial"/>
      </w:rPr>
    </w:rPrDefault>
    <w:pPrDefault/>
  </w:docDefaults>
  <w:latentStyles w:count="260" w:defQFormat="0" w:defUnhideWhenUsed="1" w:defSemiHidden="1" w:defUIPriority="99" w:defLockedState="0">
    <w:lsdException w:qFormat="1" w:unhideWhenUsed="0" w:uiPriority="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semiHidden/>
    <w:qFormat/>
    <w:uiPriority w:val="0"/>
    <w:pPr>
      <w:kinsoku w:val="0"/>
      <w:autoSpaceDE w:val="0"/>
      <w:autoSpaceDN w:val="0"/>
      <w:adjustRightInd w:val="0"/>
      <w:snapToGrid w:val="0"/>
      <w:spacing w:line="240" w:lineRule="auto"/>
      <w:jc w:val="left"/>
      <w:textAlignment w:val="baseline"/>
    </w:pPr>
    <w:rPr>
      <w:rFonts w:ascii="Arial" w:hAnsi="Arial" w:eastAsia="Arial" w:cs="Arial"/>
      <w:snapToGrid w:val="0"/>
      <w:color w:val="000000"/>
      <w:kern w:val="0"/>
      <w:sz w:val="21"/>
      <w:szCs w:val="21"/>
      <w:lang w:val="en-US" w:eastAsia="en-US" w:bidi="ar-SA"/>
    </w:rPr>
  </w:style>
  <w:style w:type="character" w:default="1" w:styleId="5">
    <w:name w:val="Default Paragraph Font"/>
    <w:semiHidden/>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annotation text"/>
    <w:basedOn w:val="1"/>
    <w:unhideWhenUsed/>
    <w:qFormat/>
    <w:uiPriority w:val="0"/>
    <w:pPr>
      <w:jc w:val="left"/>
    </w:pPr>
  </w:style>
  <w:style w:type="paragraph" w:styleId="3">
    <w:name w:val="Body Text"/>
    <w:basedOn w:val="1"/>
    <w:semiHidden/>
    <w:qFormat/>
    <w:uiPriority w:val="0"/>
    <w:rPr>
      <w:rFonts w:ascii="宋体" w:hAnsi="宋体" w:eastAsia="宋体" w:cs="宋体"/>
      <w:sz w:val="24"/>
      <w:szCs w:val="24"/>
      <w:lang w:val="en-US" w:eastAsia="en-US" w:bidi="ar-SA"/>
    </w:rPr>
  </w:style>
  <w:style w:type="table" w:customStyle="1" w:styleId="6">
    <w:name w:val="Table Normal"/>
    <w:semiHidden/>
    <w:unhideWhenUsed/>
    <w:qFormat/>
    <w:uiPriority w:val="0"/>
    <w:tblPr>
      <w:tblCellMar>
        <w:top w:w="0" w:type="dxa"/>
        <w:left w:w="0" w:type="dxa"/>
        <w:bottom w:w="0" w:type="dxa"/>
        <w:right w:w="0" w:type="dxa"/>
      </w:tblCellMar>
    </w:tblPr>
  </w:style>
  <w:style w:type="paragraph" w:customStyle="1" w:styleId="7">
    <w:name w:val="Table Text"/>
    <w:basedOn w:val="1"/>
    <w:semiHidden/>
    <w:qFormat/>
    <w:uiPriority w:val="0"/>
    <w:rPr>
      <w:rFonts w:ascii="宋体" w:hAnsi="宋体" w:eastAsia="宋体" w:cs="宋体"/>
      <w:sz w:val="21"/>
      <w:szCs w:val="21"/>
      <w:lang w:val="en-US" w:eastAsia="en-US" w:bidi="ar-SA"/>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otalTime>58</TotalTime>
  <ScaleCrop>false</ScaleCrop>
  <LinksUpToDate>false</LinksUpToDate>
  <Application>WPS Office_11.8.2.12085_F1E327BC-269C-435d-A152-05C5408002CA</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2022-08-23T09:04:00Z</dcterms:created>
  <dc:creator>微软用户</dc:creator>
  <cp:lastModifiedBy>admin</cp:lastModifiedBy>
  <dcterms:modified xsi:type="dcterms:W3CDTF">2026-01-30T03:40:56Z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O">
    <vt:lpwstr>wqlLaW5nc29mdCBQREYgdG8gV1BTIDExNQ</vt:lpwstr>
  </property>
  <property fmtid="{D5CDD505-2E9C-101B-9397-08002B2CF9AE}" pid="3" name="Created">
    <vt:filetime>2026-01-28T14:22:53Z</vt:filetime>
  </property>
  <property fmtid="{D5CDD505-2E9C-101B-9397-08002B2CF9AE}" pid="4" name="KSOProductBuildVer">
    <vt:lpwstr>2052-11.8.2.12085</vt:lpwstr>
  </property>
  <property fmtid="{D5CDD505-2E9C-101B-9397-08002B2CF9AE}" pid="5" name="ICV">
    <vt:lpwstr>0A13E511FDA14C758B6B44CA4BBBCB9B</vt:lpwstr>
  </property>
</Properties>
</file>