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22" w:lineRule="auto"/>
        <w:rPr>
          <w:rFonts w:ascii="宋体" w:hAnsi="宋体"/>
          <w:b/>
          <w:szCs w:val="21"/>
        </w:rPr>
      </w:pPr>
      <w:r>
        <w:rPr>
          <w:rFonts w:hint="eastAsia" w:ascii="宋体" w:hAnsi="宋体"/>
          <w:b/>
          <w:szCs w:val="21"/>
        </w:rPr>
        <w:t>尊敬的客户：</w:t>
      </w:r>
    </w:p>
    <w:p>
      <w:pPr>
        <w:adjustRightInd w:val="0"/>
        <w:snapToGrid w:val="0"/>
        <w:spacing w:line="319"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，请在购买该理财产品前特别注意以下事项：</w:t>
      </w:r>
    </w:p>
    <w:p>
      <w:pPr>
        <w:adjustRightInd w:val="0"/>
        <w:snapToGrid w:val="0"/>
        <w:spacing w:line="312" w:lineRule="auto"/>
        <w:ind w:firstLine="420"/>
        <w:rPr>
          <w:rFonts w:ascii="宋体" w:hAnsi="宋体"/>
          <w:b/>
          <w:bCs/>
          <w:szCs w:val="21"/>
        </w:rPr>
      </w:pPr>
      <w:r>
        <w:rPr>
          <w:rFonts w:hint="eastAsia" w:ascii="宋体" w:hAnsi="宋体"/>
          <w:szCs w:val="21"/>
        </w:rPr>
        <w:t>一、</w:t>
      </w:r>
      <w:r>
        <w:rPr>
          <w:rFonts w:hint="eastAsia"/>
          <w:szCs w:val="21"/>
        </w:rPr>
        <w:t>您将购买的温州银行“金鹿理财</w:t>
      </w:r>
      <w:r>
        <w:rPr>
          <w:rFonts w:hint="eastAsia" w:ascii="宋体" w:hAnsi="宋体"/>
          <w:szCs w:val="21"/>
        </w:rPr>
        <w:t>-</w:t>
      </w:r>
      <w:r>
        <w:rPr>
          <w:rFonts w:hint="eastAsia"/>
          <w:szCs w:val="21"/>
        </w:rPr>
        <w:t>普惠盈周”</w:t>
      </w:r>
      <w:r>
        <w:rPr>
          <w:rFonts w:hint="eastAsia"/>
          <w:szCs w:val="21"/>
          <w:u w:val="single"/>
        </w:rPr>
        <w:t>1</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，在产品存续期内不定期（产品工作日）开放资金认购、申购及赎回。</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本理财产品适合客户：经温州银行评估为稳健型、平衡型、进取型、激进型的个人投资者，以及机构投资者。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1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1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12" w:lineRule="auto"/>
        <w:ind w:firstLine="420"/>
        <w:rPr>
          <w:rFonts w:ascii="宋体" w:hAnsi="宋体"/>
          <w:szCs w:val="21"/>
        </w:rPr>
      </w:pPr>
      <w:r>
        <w:rPr>
          <w:rFonts w:hint="eastAsia" w:ascii="宋体" w:hAnsi="宋体"/>
          <w:szCs w:val="21"/>
        </w:rPr>
        <w:t>三、本风险揭示书及《温州银行“金鹿理财-普惠盈周”1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盈周”1号开放式净值型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1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1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1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12" w:lineRule="auto"/>
        <w:rPr>
          <w:b/>
          <w:szCs w:val="21"/>
        </w:rPr>
      </w:pPr>
      <w:r>
        <w:rPr>
          <w:rFonts w:hint="eastAsia"/>
          <w:b/>
          <w:szCs w:val="21"/>
        </w:rPr>
        <w:t>本人</w:t>
      </w:r>
      <w:r>
        <w:rPr>
          <w:rFonts w:hint="eastAsia"/>
          <w:b/>
          <w:szCs w:val="21"/>
          <w:lang w:val="en-US" w:eastAsia="zh-CN"/>
        </w:rPr>
        <w:t>/本机构</w:t>
      </w:r>
      <w:r>
        <w:rPr>
          <w:rFonts w:hint="eastAsia"/>
          <w:b/>
          <w:szCs w:val="21"/>
        </w:rPr>
        <w:t>经温州银行评估的风险承受能力等级为：</w:t>
      </w:r>
    </w:p>
    <w:p>
      <w:pPr>
        <w:adjustRightInd w:val="0"/>
        <w:snapToGrid w:val="0"/>
        <w:spacing w:line="31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12" w:lineRule="auto"/>
        <w:rPr>
          <w:rFonts w:ascii="宋体" w:hAnsi="宋体"/>
          <w:b/>
          <w:szCs w:val="21"/>
        </w:rPr>
      </w:pPr>
      <w:r>
        <w:rPr>
          <w:rFonts w:hint="eastAsia" w:ascii="宋体" w:hAnsi="宋体"/>
          <w:b/>
          <w:szCs w:val="21"/>
        </w:rPr>
        <w:t>本人</w:t>
      </w:r>
      <w:r>
        <w:rPr>
          <w:rFonts w:hint="eastAsia"/>
          <w:b/>
          <w:szCs w:val="21"/>
        </w:rPr>
        <w:t>/本机构</w:t>
      </w:r>
      <w:r>
        <w:rPr>
          <w:rFonts w:hint="eastAsia" w:ascii="宋体" w:hAnsi="宋体"/>
          <w:b/>
          <w:szCs w:val="21"/>
        </w:rPr>
        <w:t>同时确认如下：</w:t>
      </w:r>
      <w:r>
        <w:rPr>
          <w:rFonts w:hint="eastAsia" w:ascii="宋体" w:hAnsi="宋体"/>
          <w:b/>
          <w:szCs w:val="21"/>
          <w:u w:val="single"/>
        </w:rPr>
        <w:t xml:space="preserve">                                                                    </w:t>
      </w:r>
    </w:p>
    <w:p>
      <w:pPr>
        <w:adjustRightInd w:val="0"/>
        <w:snapToGrid w:val="0"/>
        <w:spacing w:line="312" w:lineRule="auto"/>
        <w:rPr>
          <w:b/>
          <w:szCs w:val="21"/>
        </w:rPr>
      </w:pPr>
      <w:r>
        <w:rPr>
          <w:rFonts w:hint="eastAsia"/>
          <w:b/>
          <w:szCs w:val="21"/>
          <w:u w:val="single"/>
        </w:rPr>
        <w:t xml:space="preserve">                                                                                 </w:t>
      </w:r>
      <w:r>
        <w:rPr>
          <w:rFonts w:hint="eastAsia"/>
          <w:szCs w:val="21"/>
        </w:rPr>
        <w:t>。</w:t>
      </w:r>
    </w:p>
    <w:p>
      <w:pPr>
        <w:adjustRightInd w:val="0"/>
        <w:snapToGrid w:val="0"/>
        <w:spacing w:line="312" w:lineRule="auto"/>
        <w:rPr>
          <w:szCs w:val="21"/>
        </w:rPr>
      </w:pPr>
      <w:r>
        <w:rPr>
          <w:rFonts w:hint="eastAsia"/>
          <w:szCs w:val="21"/>
        </w:rPr>
        <w:t>（客户需全文抄录以下文字以完成确认：“</w:t>
      </w:r>
      <w:r>
        <w:rPr>
          <w:rFonts w:hint="eastAsia"/>
          <w:b/>
          <w:szCs w:val="21"/>
        </w:rPr>
        <w:t>本人/本机构已经阅读上述风险提示，愿意承担投资风险</w:t>
      </w:r>
      <w:r>
        <w:rPr>
          <w:rFonts w:hint="eastAsia"/>
          <w:szCs w:val="21"/>
        </w:rPr>
        <w:t>”。）</w:t>
      </w:r>
    </w:p>
    <w:p>
      <w:pPr>
        <w:adjustRightInd w:val="0"/>
        <w:snapToGrid w:val="0"/>
        <w:spacing w:line="312" w:lineRule="auto"/>
        <w:jc w:val="left"/>
        <w:rPr>
          <w:rFonts w:ascii="宋体" w:hAnsi="宋体"/>
          <w:szCs w:val="21"/>
        </w:rPr>
      </w:pPr>
      <w:r>
        <w:rPr>
          <w:rFonts w:hint="eastAsia" w:ascii="宋体" w:hAnsi="宋体"/>
          <w:szCs w:val="21"/>
        </w:rPr>
        <w:t>个人投资者（签字）：</w:t>
      </w:r>
    </w:p>
    <w:p>
      <w:pPr>
        <w:adjustRightInd w:val="0"/>
        <w:snapToGrid w:val="0"/>
        <w:spacing w:line="312" w:lineRule="auto"/>
        <w:jc w:val="left"/>
        <w:rPr>
          <w:rFonts w:ascii="宋体" w:hAnsi="宋体"/>
          <w:szCs w:val="21"/>
        </w:rPr>
      </w:pPr>
      <w:r>
        <w:rPr>
          <w:rFonts w:hint="eastAsia" w:ascii="宋体" w:hAnsi="宋体"/>
          <w:szCs w:val="21"/>
        </w:rPr>
        <w:t>机构投资者（盖章）：</w:t>
      </w:r>
    </w:p>
    <w:p>
      <w:pPr>
        <w:adjustRightInd w:val="0"/>
        <w:snapToGrid w:val="0"/>
        <w:spacing w:line="312" w:lineRule="auto"/>
        <w:jc w:val="left"/>
        <w:rPr>
          <w:rFonts w:ascii="宋体" w:hAnsi="宋体"/>
          <w:szCs w:val="21"/>
        </w:rPr>
      </w:pPr>
      <w:r>
        <w:rPr>
          <w:rFonts w:hint="eastAsia" w:ascii="宋体" w:hAnsi="宋体"/>
          <w:szCs w:val="21"/>
        </w:rPr>
        <w:t xml:space="preserve">机构投资者法定代表人或授权代表（签名或盖章）：                            </w:t>
      </w:r>
    </w:p>
    <w:p>
      <w:pPr>
        <w:adjustRightInd w:val="0"/>
        <w:snapToGrid w:val="0"/>
        <w:spacing w:line="312" w:lineRule="auto"/>
        <w:jc w:val="right"/>
        <w:rPr>
          <w:rFonts w:ascii="宋体" w:hAnsi="宋体"/>
          <w:szCs w:val="21"/>
        </w:rPr>
      </w:pPr>
      <w:r>
        <w:rPr>
          <w:rFonts w:hint="eastAsia" w:ascii="宋体" w:hAnsi="宋体"/>
          <w:szCs w:val="21"/>
        </w:rPr>
        <w:t>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温州银行“金鹿理财-普惠盈周”</w:t>
      </w:r>
      <w:r>
        <w:rPr>
          <w:rFonts w:hint="eastAsia" w:ascii="黑体" w:eastAsia="黑体"/>
          <w:sz w:val="30"/>
          <w:szCs w:val="30"/>
          <w:u w:val="single"/>
        </w:rPr>
        <w:t>1</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普惠盈周”1号开放式净值型银行理财计划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7"/>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2" name="文本框 1"/>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pPr>
                              <w:jc w:val="center"/>
                            </w:pPr>
                            <w:r>
                              <w:rPr>
                                <w:rFonts w:hint="eastAsia"/>
                              </w:rPr>
                              <w:t>收益水平</w:t>
                            </w:r>
                          </w:p>
                          <w:p/>
                        </w:txbxContent>
                      </wps:txbx>
                      <wps:bodyPr vert="eaVert" upright="1"/>
                    </wps:wsp>
                  </a:graphicData>
                </a:graphic>
              </wp:anchor>
            </w:drawing>
          </mc:Choice>
          <mc:Fallback>
            <w:pict>
              <v:shape id="文本框 1"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SejezNkAAAAIAQAADwAAAAAAAAABACAAAAAiAAAA&#10;ZHJzL2Rvd25yZXYueG1sUEsBAhQAFAAAAAgAh07iQFv7W9vNAQAAkwMAAA4AAAAAAAAAAQAgAAAA&#10;KAEAAGRycy9lMm9Eb2MueG1sUEsFBgAAAAAGAAYAWQEAAGcFAAAAAA==&#10;">
                <v:fill on="t" focussize="0,0"/>
                <v:stroke on="f"/>
                <v:imagedata o:title=""/>
                <o:lock v:ext="edit" aspectratio="f"/>
                <v:textbox style="layout-flow:vertical-ideographic;">
                  <w:txbxContent>
                    <w:p>
                      <w:pPr>
                        <w:jc w:val="center"/>
                      </w:pPr>
                      <w:r>
                        <w:rPr>
                          <w:rFonts w:hint="eastAsia"/>
                        </w:rPr>
                        <w:t>收益水平</w:t>
                      </w:r>
                    </w:p>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组合 11"/>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a:effectLst/>
                      </wpg:grpSpPr>
                      <wps:wsp>
                        <wps:cNvPr id="2" name="矩形 2"/>
                        <wps:cNvSpPr>
                          <a:spLocks noChangeAspect="1" noTextEdit="1"/>
                        </wps:cNvSpPr>
                        <wps:spPr>
                          <a:xfrm>
                            <a:off x="0" y="0"/>
                            <a:ext cx="6188" cy="2986"/>
                          </a:xfrm>
                          <a:prstGeom prst="rect">
                            <a:avLst/>
                          </a:prstGeom>
                          <a:noFill/>
                          <a:ln>
                            <a:noFill/>
                          </a:ln>
                          <a:effectLst/>
                        </wps:spPr>
                        <wps:bodyPr upright="1"/>
                      </wps:wsp>
                      <wps:wsp>
                        <wps:cNvPr id="3" name="直接连接符 3"/>
                        <wps:cNvCnPr/>
                        <wps:spPr>
                          <a:xfrm>
                            <a:off x="254" y="2561"/>
                            <a:ext cx="5454" cy="1"/>
                          </a:xfrm>
                          <a:prstGeom prst="line">
                            <a:avLst/>
                          </a:prstGeom>
                          <a:ln w="9525" cap="flat" cmpd="sng">
                            <a:solidFill>
                              <a:srgbClr val="000000"/>
                            </a:solidFill>
                            <a:prstDash val="solid"/>
                            <a:headEnd type="none" w="med" len="med"/>
                            <a:tailEnd type="triangle" w="med" len="med"/>
                          </a:ln>
                          <a:effectLst/>
                        </wps:spPr>
                        <wps:bodyPr/>
                      </wps:wsp>
                      <wps:wsp>
                        <wps:cNvPr id="4" name="直接连接符 4"/>
                        <wps:cNvCnPr/>
                        <wps:spPr>
                          <a:xfrm flipV="1">
                            <a:off x="614" y="0"/>
                            <a:ext cx="1" cy="2935"/>
                          </a:xfrm>
                          <a:prstGeom prst="line">
                            <a:avLst/>
                          </a:prstGeom>
                          <a:ln w="9525" cap="flat" cmpd="sng">
                            <a:solidFill>
                              <a:srgbClr val="000000"/>
                            </a:solidFill>
                            <a:prstDash val="solid"/>
                            <a:headEnd type="none" w="med" len="med"/>
                            <a:tailEnd type="triangle" w="med" len="med"/>
                          </a:ln>
                          <a:effectLst/>
                        </wps:spPr>
                        <wps:bodyPr/>
                      </wps:wsp>
                      <wps:wsp>
                        <wps:cNvPr id="5" name="矩形 5"/>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upright="1"/>
                      </wps:wsp>
                      <wps:wsp>
                        <wps:cNvPr id="6" name="矩形 6"/>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upright="1"/>
                      </wps:wsp>
                      <wps:wsp>
                        <wps:cNvPr id="7" name="矩形 7"/>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upright="1"/>
                      </wps:wsp>
                      <wps:wsp>
                        <wps:cNvPr id="8" name="矩形 8"/>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upright="1"/>
                      </wps:wsp>
                      <wps:wsp>
                        <wps:cNvPr id="9" name="矩形 9"/>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upright="1"/>
                      </wps:wsp>
                      <wps:wsp>
                        <wps:cNvPr id="10" name="矩形 10"/>
                        <wps:cNvSpPr/>
                        <wps:spPr>
                          <a:xfrm>
                            <a:off x="3630" y="2600"/>
                            <a:ext cx="2558" cy="386"/>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_x0000_s1026"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">
                <o:lock v:ext="edit" rotation="t" aspectratio="f"/>
                <v:rect id="_x0000_s1026"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_x0000_s1026"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_x0000_s1026"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_x0000_s102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_x0000_s1026"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_x0000_s1026"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_x0000_s1026"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_x0000_s1026"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_x0000_s1026"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7"/>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“金鹿理财-普惠盈周”</w:t>
            </w:r>
            <w:r>
              <w:rPr>
                <w:rFonts w:hint="eastAsia"/>
                <w:sz w:val="18"/>
                <w:szCs w:val="18"/>
                <w:u w:val="single"/>
              </w:rPr>
              <w:t>1</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PZ0001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C1092220000402</w:t>
            </w:r>
          </w:p>
          <w:p>
            <w:pPr>
              <w:pStyle w:val="11"/>
              <w:adjustRightInd w:val="0"/>
              <w:snapToGrid w:val="0"/>
              <w:spacing w:before="0" w:beforeAutospacing="0" w:after="0" w:afterAutospacing="0" w:line="288" w:lineRule="auto"/>
              <w:jc w:val="center"/>
              <w:rPr>
                <w:rFonts w:hAnsi="Calibri"/>
                <w:sz w:val="18"/>
                <w:szCs w:val="18"/>
              </w:rPr>
            </w:pPr>
            <w:r>
              <w:rPr>
                <w:rFonts w:hAnsi="Calibri"/>
                <w:sz w:val="18"/>
                <w:szCs w:val="18"/>
              </w:rPr>
              <w:t xml:space="preserve"> (投资者可登录中国理财网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经温州银行评估为稳健型、平衡型、进取型、激进型的个人投资者，以及机构投资者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发行规模不超过</w:t>
            </w:r>
            <w:r>
              <w:rPr>
                <w:rFonts w:hint="eastAsia"/>
                <w:sz w:val="18"/>
                <w:szCs w:val="18"/>
              </w:rPr>
              <w:t>50亿元</w:t>
            </w:r>
            <w:r>
              <w:rPr>
                <w:rFonts w:hint="eastAsia" w:cs="Times New Roman"/>
                <w:sz w:val="18"/>
                <w:szCs w:val="18"/>
              </w:rPr>
              <w:t>（温州银行有权根据产品募集和市场情况调整计划发行量。若认购期内实际募集金额超过计划发行量，则以实际募集金额为准。）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u w:val="single"/>
              </w:rPr>
            </w:pPr>
            <w:r>
              <w:rPr>
                <w:rFonts w:hint="eastAsia"/>
                <w:sz w:val="18"/>
                <w:szCs w:val="18"/>
                <w:u w:val="single"/>
              </w:rPr>
              <w:t>2020年9月21日至2020年9月27日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r>
              <w:rPr>
                <w:rFonts w:hint="eastAsia"/>
                <w:sz w:val="18"/>
                <w:szCs w:val="18"/>
              </w:rPr>
              <w:t>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2020年9月28日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封闭期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2020年9月28日至2020年10月28日，封闭期内不受理申购赎回申请。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center"/>
              <w:rPr>
                <w:sz w:val="18"/>
                <w:szCs w:val="18"/>
              </w:rPr>
            </w:pPr>
            <w:r>
              <w:rPr>
                <w:rFonts w:ascii="宋体" w:hAnsi="宋体"/>
                <w:kern w:val="0"/>
                <w:sz w:val="18"/>
              </w:rPr>
              <w:t>本理财</w:t>
            </w:r>
            <w:r>
              <w:rPr>
                <w:rFonts w:hint="eastAsia" w:ascii="宋体" w:hAnsi="宋体"/>
                <w:kern w:val="0"/>
                <w:sz w:val="18"/>
              </w:rPr>
              <w:t>计划无固定到期日</w:t>
            </w:r>
            <w:r>
              <w:rPr>
                <w:rFonts w:ascii="宋体" w:hAnsi="宋体"/>
                <w:kern w:val="0"/>
                <w:sz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Autospacing="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r>
              <w:rPr>
                <w:rFonts w:hint="eastAsia" w:ascii="宋体" w:hAnsi="宋体"/>
                <w:sz w:val="18"/>
              </w:rPr>
              <w:t>投资周期内，除投资周期起始日/终止日外的每一个工作日，均可提交申购/赎回申请。</w:t>
            </w:r>
          </w:p>
          <w:p>
            <w:pPr>
              <w:autoSpaceDN w:val="0"/>
              <w:rPr>
                <w:rFonts w:ascii="宋体" w:hAnsi="宋体"/>
                <w:sz w:val="24"/>
              </w:rPr>
            </w:pPr>
            <w:r>
              <w:rPr>
                <w:rFonts w:ascii="宋体" w:hAnsi="宋体"/>
                <w:sz w:val="18"/>
              </w:rPr>
              <w:t>2．本理财产品一个投资周期为【</w:t>
            </w:r>
            <w:r>
              <w:rPr>
                <w:rFonts w:hint="eastAsia" w:ascii="宋体" w:hAnsi="宋体"/>
                <w:sz w:val="18"/>
              </w:rPr>
              <w:t>7</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p>
          <w:p>
            <w:pPr>
              <w:autoSpaceDN w:val="0"/>
              <w:rPr>
                <w:rFonts w:ascii="宋体" w:hAnsi="宋体"/>
                <w:sz w:val="18"/>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w:t>
            </w:r>
            <w:r>
              <w:rPr>
                <w:rFonts w:hint="eastAsia" w:ascii="宋体" w:hAnsi="宋体"/>
                <w:sz w:val="18"/>
              </w:rPr>
              <w:t>，认购（申购）确认日为下一个投资周期起始日</w:t>
            </w:r>
            <w:r>
              <w:rPr>
                <w:rFonts w:ascii="宋体" w:hAnsi="宋体"/>
                <w:sz w:val="18"/>
              </w:rPr>
              <w:t>。本理财产品按投资周期开放赎回，</w:t>
            </w:r>
            <w:r>
              <w:rPr>
                <w:rFonts w:hint="eastAsia" w:ascii="宋体" w:hAnsi="宋体"/>
                <w:sz w:val="18"/>
              </w:rPr>
              <w:t>投资者</w:t>
            </w:r>
            <w:r>
              <w:rPr>
                <w:rFonts w:ascii="宋体" w:hAnsi="宋体"/>
                <w:sz w:val="18"/>
              </w:rPr>
              <w:t>可以在一个投资周期的预约赎回期内提出赎回申请，赎回确认</w:t>
            </w:r>
            <w:r>
              <w:rPr>
                <w:rFonts w:hint="eastAsia" w:ascii="宋体" w:hAnsi="宋体"/>
                <w:sz w:val="18"/>
              </w:rPr>
              <w:t>及清算</w:t>
            </w:r>
            <w:r>
              <w:rPr>
                <w:rFonts w:ascii="宋体" w:hAnsi="宋体"/>
                <w:sz w:val="18"/>
              </w:rPr>
              <w:t>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购买资金对应的</w:t>
            </w:r>
            <w:r>
              <w:rPr>
                <w:rFonts w:ascii="宋体" w:hAnsi="宋体"/>
                <w:sz w:val="18"/>
              </w:rPr>
              <w:t>投资周期</w:t>
            </w:r>
            <w:r>
              <w:rPr>
                <w:rFonts w:hint="eastAsia" w:ascii="宋体" w:hAnsi="宋体"/>
                <w:sz w:val="18"/>
              </w:rPr>
              <w:t>内</w:t>
            </w:r>
            <w:r>
              <w:rPr>
                <w:rFonts w:ascii="宋体" w:hAnsi="宋体"/>
                <w:sz w:val="18"/>
              </w:rPr>
              <w:t>的预期赎回期内未提出赎回申请，则该投资周期终止后，客户的理财资金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rFonts w:ascii="宋体" w:hAnsi="宋体"/>
                <w:sz w:val="18"/>
              </w:rPr>
            </w:pPr>
            <w:r>
              <w:rPr>
                <w:rFonts w:hint="eastAsia" w:ascii="宋体" w:hAnsi="宋体"/>
                <w:sz w:val="18"/>
              </w:rPr>
              <w:t>4.在理财产品存续期内，温州银行有权根据市场情况变化暂停本理财产品的申购、赎回，暂停申购、赎回的公告将通过温州银行网站（www.wzbank.cn）发布。</w:t>
            </w:r>
          </w:p>
          <w:p>
            <w:pPr>
              <w:autoSpaceDN w:val="0"/>
              <w:rPr>
                <w:rFonts w:ascii="宋体" w:hAnsi="宋体"/>
                <w:sz w:val="24"/>
              </w:rPr>
            </w:pPr>
            <w:r>
              <w:rPr>
                <w:rFonts w:hint="eastAsia" w:ascii="宋体" w:hAnsi="宋体"/>
                <w:sz w:val="18"/>
              </w:rPr>
              <w:t>5.产品封闭期结束后的每个周四（如遇非工作日则顺延至下一工作日）为投资周期终止日。</w:t>
            </w:r>
          </w:p>
          <w:p>
            <w:pPr>
              <w:autoSpaceDN w:val="0"/>
              <w:rPr>
                <w:sz w:val="18"/>
                <w:szCs w:val="18"/>
              </w:rPr>
            </w:pPr>
            <w:r>
              <w:rPr>
                <w:rFonts w:hint="eastAsia" w:ascii="宋体" w:hAnsi="宋体"/>
                <w:sz w:val="18"/>
              </w:rPr>
              <w:t>6</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首次投资最低金额为</w:t>
            </w:r>
            <w:r>
              <w:rPr>
                <w:rFonts w:ascii="宋体" w:hAnsi="宋体"/>
                <w:sz w:val="18"/>
              </w:rPr>
              <w:t>1</w:t>
            </w:r>
            <w:r>
              <w:rPr>
                <w:rFonts w:hint="eastAsia" w:ascii="宋体" w:hAnsi="宋体"/>
                <w:sz w:val="18"/>
              </w:rPr>
              <w:t>万元；超出首次投资最低金额部分，须为</w:t>
            </w:r>
            <w:r>
              <w:rPr>
                <w:rFonts w:ascii="宋体" w:hAnsi="宋体"/>
                <w:sz w:val="18"/>
              </w:rPr>
              <w:t>1</w:t>
            </w:r>
            <w:r>
              <w:rPr>
                <w:rFonts w:hint="eastAsia" w:ascii="宋体" w:hAnsi="宋体"/>
                <w:sz w:val="18"/>
              </w:rPr>
              <w:t>千元或</w:t>
            </w:r>
            <w:r>
              <w:rPr>
                <w:rFonts w:ascii="宋体" w:hAnsi="宋体"/>
                <w:sz w:val="18"/>
              </w:rPr>
              <w:t>1</w:t>
            </w:r>
            <w:r>
              <w:rPr>
                <w:rFonts w:hint="eastAsia" w:ascii="宋体" w:hAnsi="宋体"/>
                <w:sz w:val="18"/>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w:t>
            </w:r>
            <w:r>
              <w:rPr>
                <w:rFonts w:hint="eastAsia" w:ascii="宋体" w:hAnsi="宋体"/>
                <w:sz w:val="18"/>
                <w:lang w:val="en-US" w:eastAsia="zh-CN"/>
              </w:rPr>
              <w:t>3</w:t>
            </w:r>
            <w:r>
              <w:rPr>
                <w:rFonts w:hint="eastAsia" w:ascii="宋体" w:hAnsi="宋体"/>
                <w:sz w:val="18"/>
              </w:rPr>
              <w:t>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认购份额=认购金额÷1元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申购份额</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申购份额＝申购金额÷申购确认日前一自然日理财计划单位净值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赎回金额的计算</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6" w:lineRule="auto"/>
              <w:jc w:val="center"/>
              <w:rPr>
                <w:sz w:val="18"/>
                <w:szCs w:val="18"/>
              </w:rPr>
            </w:pPr>
            <w:r>
              <w:rPr>
                <w:rFonts w:hint="eastAsia"/>
                <w:sz w:val="18"/>
                <w:szCs w:val="18"/>
              </w:rPr>
              <w:t>赎回金额＝总赎回份额×赎回清算日前一自然日理财计划单位净值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lang w:val="en-US" w:eastAsia="zh-CN"/>
              </w:rPr>
              <w:t>1.45</w:t>
            </w:r>
            <w:r>
              <w:rPr>
                <w:rFonts w:hint="eastAsia" w:cs="Times New Roman"/>
                <w:sz w:val="18"/>
                <w:szCs w:val="18"/>
              </w:rPr>
              <w:t>%-2.</w:t>
            </w:r>
            <w:r>
              <w:rPr>
                <w:rFonts w:hint="eastAsia" w:cs="Times New Roman"/>
                <w:sz w:val="18"/>
                <w:szCs w:val="18"/>
                <w:lang w:val="en-US" w:eastAsia="zh-CN"/>
              </w:rPr>
              <w:t>05</w:t>
            </w:r>
            <w:r>
              <w:rPr>
                <w:rFonts w:hint="eastAsia" w:cs="Times New Roman"/>
                <w:sz w:val="18"/>
                <w:szCs w:val="18"/>
              </w:rPr>
              <w:t>%（年化）</w:t>
            </w:r>
          </w:p>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1.0%（年化）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若本理财产品扣除产品固定管理费及托管费等各项费用后,日累计单位净值年化增长率超过业绩比较基准，投资管理人收取固定比例的浮动管理费。浮动管理费的具体计提及提取方式参照下文计算公式执行。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购买总额-理财产品赎回总额+理财产品所获总收益-理财产品总费用（包括但不限于固定管理费、浮动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sz w:val="18"/>
                <w:szCs w:val="18"/>
              </w:rPr>
            </w:pPr>
            <w:r>
              <w:rPr>
                <w:rFonts w:hint="eastAsia"/>
                <w:sz w:val="18"/>
                <w:szCs w:val="18"/>
              </w:rPr>
              <w:t>产品工作日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sz w:val="18"/>
                <w:szCs w:val="18"/>
              </w:rPr>
            </w:pPr>
            <w:r>
              <w:rPr>
                <w:rFonts w:hint="eastAsia"/>
                <w:sz w:val="18"/>
                <w:szCs w:val="18"/>
              </w:rPr>
              <w:t>指上海证券交易所的正常交易日（不包含周六、周日和法定节假日），本理财产品说明书所述之日期如遇中国法定节假日自动顺延至下一个工作日。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1"/>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在本产品存续期内，温州银行有权根据市场情况调整本产品前述产品要素，调整前将在</w:t>
            </w:r>
            <w:r>
              <w:rPr>
                <w:rFonts w:hint="eastAsia"/>
                <w:sz w:val="18"/>
                <w:szCs w:val="18"/>
              </w:rPr>
              <w:t>温州银行官方网站</w:t>
            </w:r>
            <w:r>
              <w:rPr>
                <w:rFonts w:hint="eastAsia" w:cs="Times New Roman"/>
                <w:sz w:val="18"/>
                <w:szCs w:val="18"/>
              </w:rPr>
              <w:t>进行相关信息披露。理财本金在理财计划成立日/投资周期起始日前交存于温州银行的，按当时实行的活期利率计息。赎回清算日到理财资金返还到账日为还本清算期，还本清算期内不计付利息和收益。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w:t>
      </w:r>
      <w:r>
        <w:rPr>
          <w:rFonts w:hint="eastAsia" w:ascii="宋体" w:hAnsi="宋体"/>
          <w:sz w:val="18"/>
          <w:szCs w:val="18"/>
        </w:rPr>
        <w:t>与交易对手开展买入返售交易的，可接受押品的资质要求应该符合本产品说明书关于投资范围的约定。</w:t>
      </w:r>
      <w:r>
        <w:rPr>
          <w:rFonts w:hint="eastAsia"/>
          <w:sz w:val="18"/>
          <w:szCs w:val="18"/>
        </w:rPr>
        <w:t>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7"/>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深圳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5"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9"/>
          <w:rFonts w:ascii="宋体" w:hAnsi="宋体"/>
          <w:sz w:val="18"/>
          <w:szCs w:val="18"/>
        </w:rPr>
        <w:t>www.wzbank.cn</w:t>
      </w:r>
      <w:r>
        <w:rPr>
          <w:rStyle w:val="9"/>
          <w:rFonts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理财产品单位净值=理财产品总净值÷理财产品总份额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理财产品单位净值为提取相关费用后的净值，客户按该单位净值进行赎回或产品到期终止清算时的分配。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w:t>
      </w:r>
      <w:r>
        <w:rPr>
          <w:rFonts w:hint="eastAsia"/>
          <w:sz w:val="18"/>
          <w:szCs w:val="18"/>
        </w:rPr>
        <w:t>本理财计划成立日为</w:t>
      </w:r>
      <w:r>
        <w:rPr>
          <w:sz w:val="18"/>
          <w:szCs w:val="18"/>
        </w:rPr>
        <w:t>20</w:t>
      </w:r>
      <w:r>
        <w:rPr>
          <w:rFonts w:hint="eastAsia"/>
          <w:sz w:val="18"/>
          <w:szCs w:val="18"/>
        </w:rPr>
        <w:t>20年9月28日。封闭期为2020年9月28日至2020年10月28日。从封闭期结束后，每</w:t>
      </w:r>
      <w:r>
        <w:rPr>
          <w:rFonts w:ascii="宋体" w:hAnsi="宋体"/>
          <w:sz w:val="18"/>
        </w:rPr>
        <w:t>【</w:t>
      </w:r>
      <w:r>
        <w:rPr>
          <w:rFonts w:hint="eastAsia" w:ascii="宋体" w:hAnsi="宋体"/>
          <w:sz w:val="18"/>
        </w:rPr>
        <w:t>7</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7</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申购、赎回期：本理财计划存续期内，投资者可在每个投资运作周期的开放期内，向温州银行提交预约申购或预约赎回申请，申购确认日、赎回清算日即为下个投资运作周期的起始日。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确认投资者赎回成功后，温州银行在赎回清算日将为投资者扣减份额，并将投资者应得的赎回资金（如有，下同）于赎回清算日后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申购份额＝申购金额÷申购确认日前一自然日理财计划单位净值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示例：假定某投资者投资100万元人民币申购本理财计划，理财计划单位净值为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理财计划采用“份额赎回”方式，赎回价格以赎回日的理财计划单位净值为基准进行计算,计算公式如下：</w:t>
      </w:r>
    </w:p>
    <w:p>
      <w:pPr>
        <w:adjustRightInd w:val="0"/>
        <w:snapToGrid w:val="0"/>
        <w:spacing w:line="286" w:lineRule="auto"/>
        <w:rPr>
          <w:sz w:val="18"/>
          <w:szCs w:val="18"/>
        </w:rPr>
      </w:pPr>
      <w:r>
        <w:rPr>
          <w:rFonts w:hint="eastAsia"/>
          <w:sz w:val="18"/>
          <w:szCs w:val="18"/>
        </w:rPr>
        <w:t>赎回金额＝总赎回份额×赎回清算日前一自然日理财计划单位净值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w:t>
      </w:r>
    </w:p>
    <w:p>
      <w:pPr>
        <w:adjustRightInd w:val="0"/>
        <w:snapToGrid w:val="0"/>
        <w:spacing w:line="286" w:lineRule="auto"/>
        <w:rPr>
          <w:sz w:val="18"/>
          <w:szCs w:val="18"/>
        </w:rPr>
      </w:pPr>
      <w:r>
        <w:rPr>
          <w:rFonts w:hint="eastAsia"/>
          <w:sz w:val="18"/>
          <w:szCs w:val="18"/>
        </w:rPr>
        <w:t>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示例：假定某投资者赎回100000份理财计划份额，理财计划单位净值为1.0530元人民币时赎回。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highlight w:val="yellow"/>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color w:val="000000"/>
          <w:sz w:val="18"/>
        </w:rPr>
      </w:pPr>
      <w:r>
        <w:rPr>
          <w:rFonts w:hint="eastAsia"/>
          <w:sz w:val="18"/>
          <w:szCs w:val="18"/>
        </w:rPr>
        <w:t>本产品无固定到期日</w:t>
      </w:r>
      <w:r>
        <w:rPr>
          <w:rFonts w:hint="eastAsia"/>
          <w:color w:val="000000"/>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理财管理人对委托资产收取的固定管理费，理财计划财产的年固定管理费率为1.0%，计算方法如下：</w:t>
      </w:r>
    </w:p>
    <w:p>
      <w:pPr>
        <w:adjustRightInd w:val="0"/>
        <w:snapToGrid w:val="0"/>
        <w:spacing w:line="286" w:lineRule="auto"/>
        <w:rPr>
          <w:sz w:val="18"/>
          <w:szCs w:val="18"/>
        </w:rPr>
      </w:pPr>
      <w:r>
        <w:rPr>
          <w:rFonts w:hint="eastAsia"/>
          <w:sz w:val="18"/>
          <w:szCs w:val="18"/>
        </w:rPr>
        <w:t>H＝E×1.0%÷365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E为本计划前一自然日资产净值，第一日固定管理费=第一日理财产品本金余额×固定管理费率÷365。</w:t>
      </w:r>
    </w:p>
    <w:p>
      <w:pPr>
        <w:adjustRightInd w:val="0"/>
        <w:snapToGrid w:val="0"/>
        <w:spacing w:line="286" w:lineRule="auto"/>
        <w:rPr>
          <w:sz w:val="18"/>
          <w:szCs w:val="18"/>
        </w:rPr>
      </w:pPr>
      <w:r>
        <w:rPr>
          <w:rFonts w:hint="eastAsia"/>
          <w:sz w:val="18"/>
          <w:szCs w:val="18"/>
        </w:rPr>
        <w:t>固定管理费原则上按日计提，管理人有权根据理财计划实际运作情况对已计提的固定管理费余额从理财计划财产中扣除，并有权根据理财计划实际运作情况减免部分或全部固定管理费。</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F=（Y-A×R÷365）×80%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F为每日应计提的浮动管理费，当计提后的浮动管理费余额小于0时，则当日不再予以计提，即当日浮动管理费余额为0。</w:t>
      </w:r>
    </w:p>
    <w:p>
      <w:pPr>
        <w:adjustRightInd w:val="0"/>
        <w:snapToGrid w:val="0"/>
        <w:spacing w:line="286" w:lineRule="auto"/>
        <w:rPr>
          <w:sz w:val="18"/>
          <w:szCs w:val="18"/>
        </w:rPr>
      </w:pPr>
      <w:r>
        <w:rPr>
          <w:rFonts w:hint="eastAsia"/>
          <w:sz w:val="18"/>
          <w:szCs w:val="18"/>
        </w:rPr>
        <w:t>Y为当日扣除浮动管理费前的当日资产收益</w:t>
      </w:r>
    </w:p>
    <w:p>
      <w:pPr>
        <w:adjustRightInd w:val="0"/>
        <w:snapToGrid w:val="0"/>
        <w:spacing w:line="286" w:lineRule="auto"/>
        <w:rPr>
          <w:sz w:val="18"/>
          <w:szCs w:val="18"/>
        </w:rPr>
      </w:pPr>
      <w:r>
        <w:rPr>
          <w:rFonts w:hint="eastAsia"/>
          <w:sz w:val="18"/>
          <w:szCs w:val="18"/>
        </w:rPr>
        <w:t>A为上一日理财产品的单位净值×当日产品份额余额</w:t>
      </w:r>
    </w:p>
    <w:p>
      <w:pPr>
        <w:adjustRightInd w:val="0"/>
        <w:snapToGrid w:val="0"/>
        <w:spacing w:line="286" w:lineRule="auto"/>
        <w:rPr>
          <w:sz w:val="18"/>
          <w:szCs w:val="18"/>
        </w:rPr>
      </w:pPr>
      <w:r>
        <w:rPr>
          <w:rFonts w:hint="eastAsia"/>
          <w:sz w:val="18"/>
          <w:szCs w:val="18"/>
        </w:rPr>
        <w:t>R为当日的业绩比较基准，若业绩比较基准存在区间范围的，则为业绩比较基准区间均值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托管费原则上按日计提，逐日累计至每季度最后一个自然月的15日（如遇法定节假日顺延）从理财计划财产中扣除。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本理财计划收益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b/>
          <w:sz w:val="18"/>
          <w:szCs w:val="18"/>
        </w:rPr>
      </w:pPr>
      <w:r>
        <w:rPr>
          <w:rFonts w:hint="eastAsia"/>
          <w:b/>
          <w:sz w:val="18"/>
          <w:szCs w:val="18"/>
        </w:rPr>
        <w:t>理财</w:t>
      </w:r>
      <w:r>
        <w:rPr>
          <w:b/>
          <w:sz w:val="18"/>
          <w:szCs w:val="18"/>
        </w:rPr>
        <w:t>计划利益分配</w:t>
      </w:r>
    </w:p>
    <w:p>
      <w:pPr>
        <w:adjustRightInd w:val="0"/>
        <w:snapToGrid w:val="0"/>
        <w:spacing w:line="286" w:lineRule="auto"/>
        <w:rPr>
          <w:sz w:val="18"/>
          <w:szCs w:val="18"/>
        </w:rPr>
      </w:pPr>
      <w:r>
        <w:rPr>
          <w:sz w:val="18"/>
          <w:szCs w:val="18"/>
        </w:rPr>
        <w:t>1.</w:t>
      </w:r>
      <w:r>
        <w:rPr>
          <w:rFonts w:hint="eastAsia"/>
          <w:sz w:val="18"/>
          <w:szCs w:val="18"/>
        </w:rPr>
        <w:t>本理财计划不定期进行收益分配。收益分配方式分两种：现金分红与红利再投资。温州银行可选择现金红利分配或将现金红利自动转为基金份额进行再投资的方式进行收益分配。温州银行应在收益分配日前1个工作日公告收益分配方案。</w:t>
      </w:r>
    </w:p>
    <w:p>
      <w:pPr>
        <w:adjustRightInd w:val="0"/>
        <w:snapToGrid w:val="0"/>
        <w:spacing w:line="286" w:lineRule="auto"/>
        <w:rPr>
          <w:sz w:val="18"/>
          <w:szCs w:val="18"/>
        </w:rPr>
      </w:pPr>
      <w:r>
        <w:rPr>
          <w:rFonts w:hint="eastAsia"/>
          <w:sz w:val="18"/>
          <w:szCs w:val="18"/>
        </w:rPr>
        <w:t>2.投资者持有本理财计划期间，温州银行不承诺保证本金安全且不保证理财收益，投资者在到期日的应得收益（如有）随投资盈亏水平浮动。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3.理财计划终止时，如理财计划项下财产全部变现，温州银行在理财计划终止日后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4.理财计划在理财计划终止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实际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10%，则发生巨额赎回事件，温州银行有权拒绝接受超过10%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rPr>
        <w:t>证券</w:t>
      </w:r>
      <w:r>
        <w:rPr>
          <w:rFonts w:ascii="宋体" w:hAnsi="宋体"/>
          <w:sz w:val="18"/>
          <w:szCs w:val="18"/>
        </w:rPr>
        <w:t>市场造成不同程度的影响，从而产生市场风险。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sz w:val="18"/>
          <w:szCs w:val="18"/>
        </w:rPr>
        <w:t>6</w:t>
      </w:r>
      <w:r>
        <w:rPr>
          <w:rFonts w:hint="eastAsia"/>
          <w:sz w:val="18"/>
          <w:szCs w:val="18"/>
        </w:rPr>
        <w:t>、早偿风险：如温州银行在特定情况下终止理财，则投资者可能将无法实现期初预期的全部收益。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7、</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Times New Roman" w:hAnsi="Times New Roman" w:cs="Times New Roman"/>
          <w:kern w:val="2"/>
          <w:sz w:val="18"/>
          <w:szCs w:val="18"/>
        </w:rPr>
      </w:pPr>
      <w:r>
        <w:rPr>
          <w:rFonts w:hint="eastAsia"/>
          <w:sz w:val="18"/>
          <w:szCs w:val="18"/>
        </w:rPr>
        <w:t>8、</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9、</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10、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11、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每个产品工作日及非理财产品工作日期间的每一自然日的产品份额净值、份额累计净值、认购（申购）价格和赎回价格，均在下一产品工作日披露。</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1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1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6"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6"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6"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6"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6"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6" w:lineRule="auto"/>
        <w:rPr>
          <w:sz w:val="18"/>
          <w:szCs w:val="18"/>
        </w:rPr>
      </w:pPr>
      <w:r>
        <w:rPr>
          <w:rFonts w:hint="eastAsia"/>
          <w:sz w:val="18"/>
          <w:szCs w:val="18"/>
        </w:rPr>
        <w:t>法律、行政法规和国务院监督管理机构另有规定或允许情形。</w:t>
      </w:r>
    </w:p>
    <w:p>
      <w:pPr>
        <w:adjustRightInd w:val="0"/>
        <w:snapToGrid w:val="0"/>
        <w:spacing w:line="27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办理，机构投资者请带营业执照原件及复印件（加盖公章）、法人代表授权书、机构公章、法人代表身份证原件及复印件（加盖公章）、被授权人身份证原件及复印件（加盖公章）、预留银行印鉴等到温州银行营业网点办理；或个人投资者/机构投资者登录温州银行网银专业版、手机银行等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盈周”1号开放式净值型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680"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revisionView w:markup="0"/>
  <w:documentProtection w:edit="readOnly" w:enforcement="1" w:cryptProviderType="rsaFull" w:cryptAlgorithmClass="hash" w:cryptAlgorithmType="typeAny" w:cryptAlgorithmSid="4" w:cryptSpinCount="0" w:hash="/ruYycLK6eV8FqU2jgWTwtktsuI=" w:salt="YU8UtzQAE6RjBxTFiIaY7w=="/>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76E2C"/>
    <w:rsid w:val="00090F2F"/>
    <w:rsid w:val="000A5D36"/>
    <w:rsid w:val="00125F16"/>
    <w:rsid w:val="00172A27"/>
    <w:rsid w:val="00172B4C"/>
    <w:rsid w:val="00194909"/>
    <w:rsid w:val="001E3E46"/>
    <w:rsid w:val="00240B17"/>
    <w:rsid w:val="00371760"/>
    <w:rsid w:val="003839BF"/>
    <w:rsid w:val="004516E7"/>
    <w:rsid w:val="004702B4"/>
    <w:rsid w:val="004B149F"/>
    <w:rsid w:val="004D632E"/>
    <w:rsid w:val="004F3D56"/>
    <w:rsid w:val="005000F9"/>
    <w:rsid w:val="00523E40"/>
    <w:rsid w:val="00551F77"/>
    <w:rsid w:val="00561460"/>
    <w:rsid w:val="00583479"/>
    <w:rsid w:val="006070F0"/>
    <w:rsid w:val="006377BD"/>
    <w:rsid w:val="00642EFA"/>
    <w:rsid w:val="006B6C20"/>
    <w:rsid w:val="006C24F6"/>
    <w:rsid w:val="006D6F48"/>
    <w:rsid w:val="00726556"/>
    <w:rsid w:val="00731946"/>
    <w:rsid w:val="00794CC8"/>
    <w:rsid w:val="007C0C99"/>
    <w:rsid w:val="008517A7"/>
    <w:rsid w:val="008B0CAA"/>
    <w:rsid w:val="00975F57"/>
    <w:rsid w:val="009F5DDA"/>
    <w:rsid w:val="00A008FE"/>
    <w:rsid w:val="00A21B3A"/>
    <w:rsid w:val="00A74580"/>
    <w:rsid w:val="00B01CD3"/>
    <w:rsid w:val="00B0469F"/>
    <w:rsid w:val="00B873B9"/>
    <w:rsid w:val="00BF5F08"/>
    <w:rsid w:val="00C24C9B"/>
    <w:rsid w:val="00C64F27"/>
    <w:rsid w:val="00C84777"/>
    <w:rsid w:val="00C96454"/>
    <w:rsid w:val="00CC3010"/>
    <w:rsid w:val="00CC30DF"/>
    <w:rsid w:val="00CC5CBF"/>
    <w:rsid w:val="00D04D78"/>
    <w:rsid w:val="00D911CD"/>
    <w:rsid w:val="00DC7332"/>
    <w:rsid w:val="00DC7700"/>
    <w:rsid w:val="00DD1B9F"/>
    <w:rsid w:val="00E743FE"/>
    <w:rsid w:val="00E817AD"/>
    <w:rsid w:val="00E87E78"/>
    <w:rsid w:val="00F003E0"/>
    <w:rsid w:val="00F63DA3"/>
    <w:rsid w:val="01107283"/>
    <w:rsid w:val="013B04AF"/>
    <w:rsid w:val="013F1C80"/>
    <w:rsid w:val="014D4226"/>
    <w:rsid w:val="027F2D40"/>
    <w:rsid w:val="035F5B62"/>
    <w:rsid w:val="03B225C6"/>
    <w:rsid w:val="054B1243"/>
    <w:rsid w:val="056A5112"/>
    <w:rsid w:val="05BE5868"/>
    <w:rsid w:val="0831435C"/>
    <w:rsid w:val="098E3976"/>
    <w:rsid w:val="0A8B5255"/>
    <w:rsid w:val="0B626F8B"/>
    <w:rsid w:val="0BA820C6"/>
    <w:rsid w:val="0D80050B"/>
    <w:rsid w:val="0DD2713B"/>
    <w:rsid w:val="0E490064"/>
    <w:rsid w:val="0E4A4F72"/>
    <w:rsid w:val="0F1B13EC"/>
    <w:rsid w:val="10076259"/>
    <w:rsid w:val="109C216B"/>
    <w:rsid w:val="11BB2246"/>
    <w:rsid w:val="11C64501"/>
    <w:rsid w:val="138D0757"/>
    <w:rsid w:val="13E4398C"/>
    <w:rsid w:val="16CA708E"/>
    <w:rsid w:val="16EE7258"/>
    <w:rsid w:val="17892312"/>
    <w:rsid w:val="18797458"/>
    <w:rsid w:val="18D67783"/>
    <w:rsid w:val="1AB5506A"/>
    <w:rsid w:val="1B3E22C5"/>
    <w:rsid w:val="1CF83BFA"/>
    <w:rsid w:val="1DC92858"/>
    <w:rsid w:val="1E2622AE"/>
    <w:rsid w:val="1F8B783A"/>
    <w:rsid w:val="22F037FA"/>
    <w:rsid w:val="230E3B63"/>
    <w:rsid w:val="23EC2A46"/>
    <w:rsid w:val="242A4AD2"/>
    <w:rsid w:val="24845E93"/>
    <w:rsid w:val="25C1363B"/>
    <w:rsid w:val="2AE21E1E"/>
    <w:rsid w:val="2C9367E4"/>
    <w:rsid w:val="2CF84B28"/>
    <w:rsid w:val="2CFF7EE5"/>
    <w:rsid w:val="2D3A6459"/>
    <w:rsid w:val="2D8F5880"/>
    <w:rsid w:val="2E971AE3"/>
    <w:rsid w:val="304709FE"/>
    <w:rsid w:val="30873011"/>
    <w:rsid w:val="3233705C"/>
    <w:rsid w:val="32600E2A"/>
    <w:rsid w:val="33BB0464"/>
    <w:rsid w:val="34582769"/>
    <w:rsid w:val="351A7ABC"/>
    <w:rsid w:val="35635518"/>
    <w:rsid w:val="36D42F75"/>
    <w:rsid w:val="371E667F"/>
    <w:rsid w:val="38C66936"/>
    <w:rsid w:val="39F7795F"/>
    <w:rsid w:val="3CA95CCE"/>
    <w:rsid w:val="3CD60CF3"/>
    <w:rsid w:val="3D3D61A4"/>
    <w:rsid w:val="3D6E0AAA"/>
    <w:rsid w:val="40764994"/>
    <w:rsid w:val="43710A36"/>
    <w:rsid w:val="44D7779F"/>
    <w:rsid w:val="458B5C50"/>
    <w:rsid w:val="493C1AF2"/>
    <w:rsid w:val="4B3A78C8"/>
    <w:rsid w:val="4B8D3FF0"/>
    <w:rsid w:val="4C326B56"/>
    <w:rsid w:val="4D1F2F41"/>
    <w:rsid w:val="4D9F6C37"/>
    <w:rsid w:val="4DA04DB4"/>
    <w:rsid w:val="4E3F1A3D"/>
    <w:rsid w:val="4EC917E6"/>
    <w:rsid w:val="502F0C44"/>
    <w:rsid w:val="50B31F53"/>
    <w:rsid w:val="52807E6D"/>
    <w:rsid w:val="52F50261"/>
    <w:rsid w:val="542B731D"/>
    <w:rsid w:val="54D2486B"/>
    <w:rsid w:val="575177BB"/>
    <w:rsid w:val="57BC002D"/>
    <w:rsid w:val="58957134"/>
    <w:rsid w:val="58B403AE"/>
    <w:rsid w:val="58E46088"/>
    <w:rsid w:val="59FD29AB"/>
    <w:rsid w:val="5A8D45D9"/>
    <w:rsid w:val="5BEB7D2D"/>
    <w:rsid w:val="5C2610B6"/>
    <w:rsid w:val="5CAC60D0"/>
    <w:rsid w:val="5CF67827"/>
    <w:rsid w:val="5D2F7B31"/>
    <w:rsid w:val="5D8416F7"/>
    <w:rsid w:val="5DB4052A"/>
    <w:rsid w:val="60A64BF2"/>
    <w:rsid w:val="61EB7F09"/>
    <w:rsid w:val="62373B72"/>
    <w:rsid w:val="628B4E13"/>
    <w:rsid w:val="62B023A5"/>
    <w:rsid w:val="644D2BDF"/>
    <w:rsid w:val="671110CE"/>
    <w:rsid w:val="69085C1A"/>
    <w:rsid w:val="6B5424D8"/>
    <w:rsid w:val="6BEA4E88"/>
    <w:rsid w:val="6C166AE8"/>
    <w:rsid w:val="6D763CAB"/>
    <w:rsid w:val="6F9406F7"/>
    <w:rsid w:val="71AC58D0"/>
    <w:rsid w:val="721944C5"/>
    <w:rsid w:val="745B12C0"/>
    <w:rsid w:val="74C431E5"/>
    <w:rsid w:val="75646EFC"/>
    <w:rsid w:val="759A00B6"/>
    <w:rsid w:val="75EE1A0C"/>
    <w:rsid w:val="78AF2A24"/>
    <w:rsid w:val="7A7957AE"/>
    <w:rsid w:val="7AB61D86"/>
    <w:rsid w:val="7B6E3D14"/>
    <w:rsid w:val="7CB110A9"/>
    <w:rsid w:val="7E046FB3"/>
    <w:rsid w:val="7F560AEA"/>
    <w:rsid w:val="7F744F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8">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Balloon Text"/>
    <w:basedOn w:val="1"/>
    <w:link w:val="14"/>
    <w:qFormat/>
    <w:uiPriority w:val="0"/>
    <w:rPr>
      <w:sz w:val="18"/>
      <w:szCs w:val="18"/>
    </w:rPr>
  </w:style>
  <w:style w:type="paragraph" w:styleId="4">
    <w:name w:val="footer"/>
    <w:basedOn w:val="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unhideWhenUsed/>
    <w:qFormat/>
    <w:uiPriority w:val="99"/>
    <w:rPr>
      <w:sz w:val="24"/>
    </w:rPr>
  </w:style>
  <w:style w:type="character" w:styleId="9">
    <w:name w:val="Hyperlink"/>
    <w:qFormat/>
    <w:uiPriority w:val="0"/>
    <w:rPr>
      <w:color w:val="0563C1"/>
      <w:u w:val="single"/>
    </w:rPr>
  </w:style>
  <w:style w:type="character" w:styleId="10">
    <w:name w:val="annotation reference"/>
    <w:unhideWhenUsed/>
    <w:qFormat/>
    <w:uiPriority w:val="99"/>
    <w:rPr>
      <w:sz w:val="21"/>
      <w:szCs w:val="21"/>
    </w:rPr>
  </w:style>
  <w:style w:type="paragraph" w:customStyle="1" w:styleId="11">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1"/>
    <w:unhideWhenUsed/>
    <w:qFormat/>
    <w:uiPriority w:val="99"/>
    <w:rPr>
      <w:rFonts w:ascii="Times New Roman" w:hAnsi="Times New Roman" w:eastAsia="宋体" w:cs="Times New Roman"/>
      <w:kern w:val="2"/>
      <w:sz w:val="21"/>
      <w:lang w:val="en-US" w:eastAsia="zh-CN" w:bidi="ar-SA"/>
    </w:rPr>
  </w:style>
  <w:style w:type="character" w:customStyle="1" w:styleId="14">
    <w:name w:val="批注框文本 字符"/>
    <w:link w:val="3"/>
    <w:qFormat/>
    <w:uiPriority w:val="0"/>
    <w:rPr>
      <w:rFonts w:ascii="Times New Roman" w:hAnsi="Times New Roman"/>
      <w:kern w:val="2"/>
      <w:sz w:val="18"/>
      <w:szCs w:val="18"/>
    </w:rPr>
  </w:style>
  <w:style w:type="character" w:customStyle="1" w:styleId="15">
    <w:name w:val="页眉 字符"/>
    <w:link w:val="5"/>
    <w:qFormat/>
    <w:uiPriority w:val="0"/>
    <w:rPr>
      <w:rFonts w:ascii="Times New Roman" w:hAnsi="Times New Roman"/>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Kingsoft</Company>
  <Pages>11</Pages>
  <Words>16240</Words>
  <Characters>16580</Characters>
  <Lines>123</Lines>
  <Paragraphs>34</Paragraphs>
  <TotalTime>3</TotalTime>
  <ScaleCrop>false</ScaleCrop>
  <LinksUpToDate>false</LinksUpToDate>
  <CharactersWithSpaces>16874</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2022-05-12T01:19:00Z</dcterms:created>
  <dc:creator>李少华</dc:creator>
  <cp:lastModifiedBy>应心茹</cp:lastModifiedBy>
  <dcterms:modified xsi:type="dcterms:W3CDTF">2026-01-30T07:29:05Z</dcterms:modified>
  <cp:revision>21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58B6E3FF18454494B2B9D0E32FE5A3C5</vt:lpwstr>
  </property>
  <property fmtid="{D5CDD505-2E9C-101B-9397-08002B2CF9AE}" pid="4" name="KSOTemplateDocerSaveRecord">
    <vt:lpwstr>eyJoZGlkIjoiZWNlNjU5NjliMTgyYzBmZjRiNGFhMjFmOTUwYjlmZDgiLCJ1c2VySWQiOiIzOTQzMjAxMTgifQ==</vt:lpwstr>
  </property>
</Properties>
</file>