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BE6819">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26003</w:t>
      </w:r>
      <w:r>
        <w:rPr>
          <w:rFonts w:hint="eastAsia" w:ascii="黑体" w:eastAsia="黑体"/>
          <w:sz w:val="30"/>
          <w:szCs w:val="30"/>
        </w:rPr>
        <w:t>号（稳健低波款）银行理财计划风险揭示书</w:t>
      </w:r>
    </w:p>
    <w:p w14:paraId="79F78E13">
      <w:pPr>
        <w:adjustRightInd w:val="0"/>
        <w:snapToGrid w:val="0"/>
        <w:spacing w:before="240" w:line="360" w:lineRule="auto"/>
        <w:rPr>
          <w:rFonts w:ascii="宋体" w:hAnsi="宋体"/>
          <w:b/>
          <w:szCs w:val="21"/>
        </w:rPr>
      </w:pPr>
      <w:r>
        <w:rPr>
          <w:rFonts w:hint="eastAsia" w:ascii="宋体" w:hAnsi="宋体"/>
          <w:b/>
          <w:szCs w:val="21"/>
        </w:rPr>
        <w:t>尊敬的客户：</w:t>
      </w:r>
    </w:p>
    <w:p w14:paraId="164588B3">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6D6F2947">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26003</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14:paraId="6B2016BF">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69821455">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6FD3065A">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26003</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26003</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52B6E670">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7262D3A6">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21F8D5CD">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45738572">
      <w:pPr>
        <w:adjustRightInd w:val="0"/>
        <w:snapToGrid w:val="0"/>
        <w:spacing w:line="360" w:lineRule="auto"/>
        <w:rPr>
          <w:b/>
          <w:szCs w:val="21"/>
        </w:rPr>
      </w:pPr>
      <w:r>
        <w:rPr>
          <w:rFonts w:hint="eastAsia"/>
          <w:b/>
          <w:szCs w:val="21"/>
        </w:rPr>
        <w:t>本人经温州银行评估的风险承受能力等级为（客户填写）：</w:t>
      </w:r>
    </w:p>
    <w:p w14:paraId="4589B765">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2D58E9C">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0E0A67DE">
      <w:pPr>
        <w:adjustRightInd w:val="0"/>
        <w:snapToGrid w:val="0"/>
        <w:spacing w:line="360" w:lineRule="auto"/>
        <w:rPr>
          <w:b/>
          <w:szCs w:val="21"/>
        </w:rPr>
      </w:pPr>
      <w:r>
        <w:rPr>
          <w:rFonts w:hint="eastAsia"/>
          <w:b/>
          <w:szCs w:val="21"/>
          <w:u w:val="single"/>
        </w:rPr>
        <w:t xml:space="preserve">                                                                                 </w:t>
      </w:r>
      <w:r>
        <w:rPr>
          <w:rFonts w:hint="eastAsia"/>
          <w:szCs w:val="21"/>
        </w:rPr>
        <w:t>。</w:t>
      </w:r>
    </w:p>
    <w:p w14:paraId="5FB5A10A">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73093F69">
      <w:pPr>
        <w:adjustRightInd w:val="0"/>
        <w:snapToGrid w:val="0"/>
        <w:spacing w:line="360" w:lineRule="auto"/>
        <w:ind w:firstLine="840" w:firstLineChars="400"/>
        <w:rPr>
          <w:rFonts w:ascii="宋体" w:hAnsi="宋体"/>
          <w:szCs w:val="21"/>
        </w:rPr>
      </w:pPr>
    </w:p>
    <w:p w14:paraId="71D28F84">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3190731">
      <w:pPr>
        <w:pStyle w:val="16"/>
        <w:adjustRightInd w:val="0"/>
        <w:snapToGrid w:val="0"/>
        <w:spacing w:before="0" w:beforeAutospacing="0" w:after="0" w:afterAutospacing="0" w:line="360" w:lineRule="auto"/>
        <w:jc w:val="center"/>
        <w:rPr>
          <w:rFonts w:ascii="黑体" w:eastAsia="黑体"/>
          <w:bCs/>
          <w:sz w:val="30"/>
          <w:szCs w:val="30"/>
        </w:rPr>
      </w:pPr>
    </w:p>
    <w:p w14:paraId="76DA0267">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26003</w:t>
      </w:r>
      <w:r>
        <w:rPr>
          <w:rFonts w:hint="eastAsia" w:ascii="黑体" w:eastAsia="黑体"/>
          <w:bCs/>
          <w:sz w:val="30"/>
          <w:szCs w:val="30"/>
        </w:rPr>
        <w:t>号（稳健低波款）</w:t>
      </w:r>
    </w:p>
    <w:p w14:paraId="2DCB15FD">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1FEABD52">
      <w:pPr>
        <w:adjustRightInd w:val="0"/>
        <w:snapToGrid w:val="0"/>
        <w:spacing w:before="120" w:line="300" w:lineRule="auto"/>
        <w:rPr>
          <w:b/>
          <w:sz w:val="18"/>
          <w:szCs w:val="18"/>
        </w:rPr>
      </w:pPr>
      <w:r>
        <w:rPr>
          <w:rFonts w:hint="eastAsia"/>
          <w:b/>
          <w:sz w:val="18"/>
          <w:szCs w:val="18"/>
        </w:rPr>
        <w:t>重要须知</w:t>
      </w:r>
    </w:p>
    <w:p w14:paraId="4D9E9C14">
      <w:pPr>
        <w:adjustRightInd w:val="0"/>
        <w:snapToGrid w:val="0"/>
        <w:spacing w:line="300" w:lineRule="auto"/>
        <w:rPr>
          <w:sz w:val="18"/>
          <w:szCs w:val="18"/>
        </w:rPr>
      </w:pPr>
      <w:r>
        <w:rPr>
          <w:rFonts w:hint="eastAsia"/>
          <w:sz w:val="18"/>
          <w:szCs w:val="18"/>
        </w:rPr>
        <w:t>本产品与银行存款存在明显区别，具有一定的风险。</w:t>
      </w:r>
    </w:p>
    <w:p w14:paraId="17C4C5C7">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14:paraId="283EC5ED">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45829678">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20571FAA">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7EC35083">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56EC33B6">
      <w:pPr>
        <w:adjustRightInd w:val="0"/>
        <w:snapToGrid w:val="0"/>
        <w:spacing w:line="300" w:lineRule="auto"/>
        <w:rPr>
          <w:b/>
          <w:sz w:val="18"/>
          <w:szCs w:val="18"/>
        </w:rPr>
      </w:pPr>
      <w:r>
        <w:rPr>
          <w:rFonts w:hint="eastAsia"/>
          <w:b/>
          <w:sz w:val="18"/>
          <w:szCs w:val="18"/>
        </w:rPr>
        <w:t>释义</w:t>
      </w:r>
    </w:p>
    <w:p w14:paraId="48D2AA0C">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657EAC45">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26003</w:t>
      </w:r>
      <w:r>
        <w:rPr>
          <w:rFonts w:hint="eastAsia"/>
          <w:sz w:val="18"/>
          <w:szCs w:val="18"/>
        </w:rPr>
        <w:t>号（稳健低波款）银行理财计划</w:t>
      </w:r>
    </w:p>
    <w:p w14:paraId="5C4BD89C">
      <w:pPr>
        <w:adjustRightInd w:val="0"/>
        <w:snapToGrid w:val="0"/>
        <w:spacing w:line="300" w:lineRule="auto"/>
        <w:rPr>
          <w:sz w:val="18"/>
          <w:szCs w:val="18"/>
        </w:rPr>
      </w:pPr>
      <w:r>
        <w:rPr>
          <w:rFonts w:hint="eastAsia"/>
          <w:sz w:val="18"/>
          <w:szCs w:val="18"/>
        </w:rPr>
        <w:t>发行银行：指温州银行股份有限公司</w:t>
      </w:r>
    </w:p>
    <w:p w14:paraId="3CF634EB">
      <w:pPr>
        <w:adjustRightInd w:val="0"/>
        <w:snapToGrid w:val="0"/>
        <w:spacing w:line="300" w:lineRule="auto"/>
        <w:rPr>
          <w:sz w:val="18"/>
          <w:szCs w:val="18"/>
        </w:rPr>
      </w:pPr>
      <w:r>
        <w:rPr>
          <w:rFonts w:hint="eastAsia"/>
          <w:sz w:val="18"/>
          <w:szCs w:val="18"/>
        </w:rPr>
        <w:t>产品托管人：具有证券投资基金托管业务资格的商业银行</w:t>
      </w:r>
    </w:p>
    <w:p w14:paraId="13A193BF">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4832AF17">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4DDD6075">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415EC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FEDC9DB">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33B94D8A">
            <w:pPr>
              <w:widowControl/>
              <w:adjustRightInd w:val="0"/>
              <w:snapToGrid w:val="0"/>
              <w:spacing w:line="300" w:lineRule="auto"/>
              <w:outlineLvl w:val="0"/>
              <w:rPr>
                <w:b/>
                <w:sz w:val="18"/>
                <w:szCs w:val="18"/>
              </w:rPr>
            </w:pPr>
            <w:r>
              <w:rPr>
                <w:rFonts w:hint="eastAsia"/>
                <w:b/>
                <w:sz w:val="18"/>
                <w:szCs w:val="18"/>
              </w:rPr>
              <w:t>激进型产品</w:t>
            </w:r>
          </w:p>
        </w:tc>
      </w:tr>
      <w:tr w14:paraId="15C7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59AD1599">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436DD1F1">
            <w:pPr>
              <w:widowControl/>
              <w:adjustRightInd w:val="0"/>
              <w:snapToGrid w:val="0"/>
              <w:spacing w:line="300" w:lineRule="auto"/>
              <w:outlineLvl w:val="0"/>
              <w:rPr>
                <w:b/>
                <w:sz w:val="18"/>
                <w:szCs w:val="18"/>
              </w:rPr>
            </w:pPr>
            <w:r>
              <w:rPr>
                <w:rFonts w:hint="eastAsia"/>
                <w:b/>
                <w:sz w:val="18"/>
                <w:szCs w:val="18"/>
              </w:rPr>
              <w:t>进取型产品</w:t>
            </w:r>
          </w:p>
        </w:tc>
      </w:tr>
      <w:tr w14:paraId="58CF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BC8104A">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56D27736">
            <w:pPr>
              <w:widowControl/>
              <w:adjustRightInd w:val="0"/>
              <w:snapToGrid w:val="0"/>
              <w:spacing w:line="300" w:lineRule="auto"/>
              <w:outlineLvl w:val="0"/>
              <w:rPr>
                <w:b/>
                <w:sz w:val="18"/>
                <w:szCs w:val="18"/>
              </w:rPr>
            </w:pPr>
            <w:r>
              <w:rPr>
                <w:rFonts w:hint="eastAsia"/>
                <w:b/>
                <w:sz w:val="18"/>
                <w:szCs w:val="18"/>
              </w:rPr>
              <w:t>平衡型产品</w:t>
            </w:r>
          </w:p>
        </w:tc>
      </w:tr>
      <w:tr w14:paraId="79F3B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2F182EC8">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A2036A1">
            <w:pPr>
              <w:widowControl/>
              <w:adjustRightInd w:val="0"/>
              <w:snapToGrid w:val="0"/>
              <w:spacing w:line="300" w:lineRule="auto"/>
              <w:outlineLvl w:val="0"/>
              <w:rPr>
                <w:b/>
                <w:sz w:val="18"/>
                <w:szCs w:val="18"/>
              </w:rPr>
            </w:pPr>
            <w:r>
              <w:rPr>
                <w:rFonts w:hint="eastAsia"/>
                <w:b/>
                <w:sz w:val="18"/>
                <w:szCs w:val="18"/>
              </w:rPr>
              <w:t>稳健型产品</w:t>
            </w:r>
          </w:p>
        </w:tc>
      </w:tr>
      <w:tr w14:paraId="52745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50A8CE3B">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3E33702F">
            <w:pPr>
              <w:widowControl/>
              <w:adjustRightInd w:val="0"/>
              <w:snapToGrid w:val="0"/>
              <w:spacing w:line="300" w:lineRule="auto"/>
              <w:outlineLvl w:val="0"/>
              <w:rPr>
                <w:b/>
                <w:sz w:val="18"/>
                <w:szCs w:val="18"/>
              </w:rPr>
            </w:pPr>
            <w:r>
              <w:rPr>
                <w:rFonts w:hint="eastAsia"/>
                <w:b/>
                <w:sz w:val="18"/>
                <w:szCs w:val="18"/>
              </w:rPr>
              <w:t>谨慎型产品</w:t>
            </w:r>
          </w:p>
        </w:tc>
      </w:tr>
    </w:tbl>
    <w:p w14:paraId="198582B1">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6E8C14D6">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6E8C14D6">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6944FC3">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5F909119">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50455ED3">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23769E6">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E60B964">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14:paraId="65B776FD">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14:paraId="76944FC3">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14:paraId="5F909119">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14:paraId="50455ED3">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14:paraId="123769E6">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14:paraId="5E60B964">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14:paraId="65B776FD">
                        <w:pPr>
                          <w:jc w:val="center"/>
                          <w:rPr>
                            <w:sz w:val="18"/>
                            <w:szCs w:val="18"/>
                          </w:rPr>
                        </w:pPr>
                        <w:r>
                          <w:rPr>
                            <w:rFonts w:hint="eastAsia"/>
                            <w:sz w:val="18"/>
                            <w:szCs w:val="18"/>
                          </w:rPr>
                          <w:t>风险程度</w:t>
                        </w:r>
                      </w:p>
                    </w:txbxContent>
                  </v:textbox>
                </v:rect>
                <w10:wrap type="none"/>
                <w10:anchorlock/>
              </v:group>
            </w:pict>
          </mc:Fallback>
        </mc:AlternateContent>
      </w:r>
    </w:p>
    <w:p w14:paraId="19DD8A90">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41988B95">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572A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32AFB317">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5CC5EC15">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26003</w:t>
            </w:r>
            <w:r>
              <w:rPr>
                <w:sz w:val="18"/>
                <w:szCs w:val="18"/>
              </w:rPr>
              <w:t>号</w:t>
            </w:r>
            <w:r>
              <w:rPr>
                <w:rFonts w:hint="eastAsia"/>
                <w:sz w:val="18"/>
                <w:szCs w:val="18"/>
              </w:rPr>
              <w:t>（稳健低波款）银行理财计划</w:t>
            </w:r>
          </w:p>
        </w:tc>
      </w:tr>
      <w:tr w14:paraId="56C2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096BC5E">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51D35712">
            <w:pPr>
              <w:adjustRightInd w:val="0"/>
              <w:snapToGrid w:val="0"/>
              <w:spacing w:line="288" w:lineRule="auto"/>
              <w:jc w:val="center"/>
              <w:rPr>
                <w:sz w:val="18"/>
                <w:szCs w:val="18"/>
              </w:rPr>
            </w:pPr>
            <w:r>
              <w:rPr>
                <w:color w:val="000000"/>
                <w:sz w:val="18"/>
                <w:szCs w:val="18"/>
              </w:rPr>
              <w:t>JW2603</w:t>
            </w:r>
          </w:p>
        </w:tc>
      </w:tr>
      <w:tr w14:paraId="06CCB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432744E">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2A69AF84">
            <w:pPr>
              <w:adjustRightInd w:val="0"/>
              <w:snapToGrid w:val="0"/>
              <w:spacing w:line="288" w:lineRule="auto"/>
              <w:jc w:val="center"/>
              <w:rPr>
                <w:sz w:val="18"/>
                <w:szCs w:val="18"/>
              </w:rPr>
            </w:pPr>
            <w:r>
              <w:rPr>
                <w:color w:val="000000"/>
                <w:sz w:val="18"/>
                <w:szCs w:val="18"/>
              </w:rPr>
              <w:t>C1092226000011</w:t>
            </w:r>
          </w:p>
          <w:p w14:paraId="44A4230B">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37B3A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F3C5578">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2B32F4EA">
            <w:pPr>
              <w:adjustRightInd w:val="0"/>
              <w:snapToGrid w:val="0"/>
              <w:spacing w:line="288" w:lineRule="auto"/>
              <w:jc w:val="center"/>
              <w:rPr>
                <w:sz w:val="18"/>
                <w:szCs w:val="18"/>
              </w:rPr>
            </w:pPr>
            <w:r>
              <w:rPr>
                <w:rFonts w:hint="eastAsia"/>
                <w:sz w:val="18"/>
                <w:szCs w:val="18"/>
              </w:rPr>
              <w:t>封闭式净值型</w:t>
            </w:r>
          </w:p>
        </w:tc>
      </w:tr>
      <w:tr w14:paraId="32D99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11CDCEB">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5D800581">
            <w:pPr>
              <w:adjustRightInd w:val="0"/>
              <w:snapToGrid w:val="0"/>
              <w:spacing w:line="288" w:lineRule="auto"/>
              <w:jc w:val="center"/>
              <w:rPr>
                <w:sz w:val="18"/>
                <w:szCs w:val="18"/>
              </w:rPr>
            </w:pPr>
            <w:r>
              <w:rPr>
                <w:rFonts w:hint="eastAsia"/>
                <w:sz w:val="18"/>
                <w:szCs w:val="18"/>
              </w:rPr>
              <w:t>固定收益类</w:t>
            </w:r>
          </w:p>
        </w:tc>
      </w:tr>
      <w:tr w14:paraId="7E2A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679D198">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02BE1A25">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35BA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2279336">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069A9E7B">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14:paraId="3935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D3D335B">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4BA56D5">
            <w:pPr>
              <w:adjustRightInd w:val="0"/>
              <w:snapToGrid w:val="0"/>
              <w:spacing w:line="288" w:lineRule="auto"/>
              <w:jc w:val="center"/>
              <w:rPr>
                <w:sz w:val="18"/>
                <w:szCs w:val="18"/>
              </w:rPr>
            </w:pPr>
            <w:r>
              <w:rPr>
                <w:rFonts w:hint="eastAsia"/>
                <w:sz w:val="18"/>
                <w:szCs w:val="18"/>
              </w:rPr>
              <w:t>公募</w:t>
            </w:r>
          </w:p>
        </w:tc>
      </w:tr>
      <w:tr w14:paraId="6109E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D873981">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00449CFD">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2D7E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F5012F9">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35AE8217">
            <w:pPr>
              <w:adjustRightInd w:val="0"/>
              <w:snapToGrid w:val="0"/>
              <w:spacing w:line="288" w:lineRule="auto"/>
              <w:jc w:val="center"/>
              <w:rPr>
                <w:sz w:val="18"/>
                <w:szCs w:val="18"/>
              </w:rPr>
            </w:pPr>
            <w:r>
              <w:rPr>
                <w:rFonts w:hint="eastAsia"/>
                <w:sz w:val="18"/>
                <w:szCs w:val="18"/>
              </w:rPr>
              <w:t>人民币</w:t>
            </w:r>
          </w:p>
        </w:tc>
      </w:tr>
      <w:tr w14:paraId="4719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9922611">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16736F80">
            <w:pPr>
              <w:adjustRightInd w:val="0"/>
              <w:snapToGrid w:val="0"/>
              <w:spacing w:line="288" w:lineRule="auto"/>
              <w:jc w:val="center"/>
              <w:rPr>
                <w:sz w:val="18"/>
                <w:szCs w:val="18"/>
              </w:rPr>
            </w:pPr>
            <w:r>
              <w:rPr>
                <w:rFonts w:hint="eastAsia"/>
                <w:sz w:val="18"/>
                <w:szCs w:val="18"/>
              </w:rPr>
              <w:t>非保本浮动收益型</w:t>
            </w:r>
          </w:p>
        </w:tc>
      </w:tr>
      <w:tr w14:paraId="165E4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C04A695">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7B8BF62F">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4510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81B1155">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1A96CE3E">
            <w:pPr>
              <w:adjustRightInd w:val="0"/>
              <w:snapToGrid w:val="0"/>
              <w:spacing w:line="288" w:lineRule="auto"/>
              <w:jc w:val="center"/>
              <w:rPr>
                <w:sz w:val="18"/>
                <w:szCs w:val="18"/>
                <w:u w:val="single"/>
              </w:rPr>
            </w:pPr>
            <w:r>
              <w:rPr>
                <w:color w:val="000000"/>
                <w:sz w:val="18"/>
                <w:u w:val="single"/>
              </w:rPr>
              <w:t>2026年2月3日</w:t>
            </w:r>
            <w:r>
              <w:rPr>
                <w:rFonts w:hint="eastAsia"/>
                <w:sz w:val="18"/>
                <w:u w:val="single"/>
              </w:rPr>
              <w:t>至</w:t>
            </w:r>
            <w:r>
              <w:rPr>
                <w:color w:val="000000"/>
                <w:sz w:val="18"/>
                <w:u w:val="single"/>
              </w:rPr>
              <w:t>2026年2月9日</w:t>
            </w:r>
          </w:p>
        </w:tc>
      </w:tr>
      <w:tr w14:paraId="59F0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026141D">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0678F1AE">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1C25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CEBD8D9">
            <w:pPr>
              <w:adjustRightInd w:val="0"/>
              <w:snapToGrid w:val="0"/>
              <w:spacing w:line="288" w:lineRule="auto"/>
              <w:jc w:val="center"/>
              <w:rPr>
                <w:sz w:val="18"/>
                <w:szCs w:val="18"/>
              </w:rPr>
            </w:pPr>
            <w:r>
              <w:rPr>
                <w:rFonts w:hint="eastAsia"/>
                <w:sz w:val="18"/>
                <w:szCs w:val="18"/>
              </w:rPr>
              <w:t>理财开始日</w:t>
            </w:r>
          </w:p>
          <w:p w14:paraId="2D467C90">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14EB7A19">
            <w:pPr>
              <w:adjustRightInd w:val="0"/>
              <w:snapToGrid w:val="0"/>
              <w:spacing w:line="288" w:lineRule="auto"/>
              <w:jc w:val="center"/>
              <w:rPr>
                <w:sz w:val="18"/>
                <w:szCs w:val="18"/>
              </w:rPr>
            </w:pPr>
            <w:r>
              <w:rPr>
                <w:rFonts w:hint="eastAsia"/>
                <w:color w:val="000000"/>
                <w:sz w:val="18"/>
                <w:szCs w:val="18"/>
                <w:u w:val="single"/>
                <w:lang w:val="en-US" w:eastAsia="zh-CN"/>
              </w:rPr>
              <w:t>2026年2月10日</w:t>
            </w:r>
          </w:p>
        </w:tc>
      </w:tr>
      <w:tr w14:paraId="62EF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4707B9B">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0601C50E">
            <w:pPr>
              <w:adjustRightInd w:val="0"/>
              <w:snapToGrid w:val="0"/>
              <w:spacing w:line="288" w:lineRule="auto"/>
              <w:jc w:val="center"/>
              <w:rPr>
                <w:sz w:val="18"/>
                <w:szCs w:val="24"/>
                <w:u w:val="single"/>
              </w:rPr>
            </w:pPr>
            <w:r>
              <w:rPr>
                <w:rFonts w:hint="eastAsia"/>
                <w:color w:val="000000"/>
                <w:sz w:val="18"/>
                <w:szCs w:val="24"/>
                <w:u w:val="single"/>
                <w:lang w:val="en-US" w:eastAsia="zh-CN"/>
              </w:rPr>
              <w:t>2027年3月16日</w:t>
            </w:r>
          </w:p>
        </w:tc>
      </w:tr>
      <w:tr w14:paraId="08207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C91908D">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2608FF55">
            <w:pPr>
              <w:adjustRightInd w:val="0"/>
              <w:snapToGrid w:val="0"/>
              <w:spacing w:line="288" w:lineRule="auto"/>
              <w:jc w:val="center"/>
              <w:rPr>
                <w:sz w:val="18"/>
                <w:szCs w:val="18"/>
              </w:rPr>
            </w:pPr>
            <w:r>
              <w:rPr>
                <w:rFonts w:hint="eastAsia"/>
                <w:color w:val="000000"/>
                <w:sz w:val="18"/>
                <w:szCs w:val="18"/>
                <w:lang w:val="en-US" w:eastAsia="zh-CN"/>
              </w:rPr>
              <w:t>2.50%</w:t>
            </w:r>
            <w:r>
              <w:rPr>
                <w:rFonts w:hint="eastAsia"/>
                <w:sz w:val="18"/>
                <w:szCs w:val="18"/>
              </w:rPr>
              <w:t>（年化）</w:t>
            </w:r>
          </w:p>
          <w:p w14:paraId="54AC1555">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79CF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ADA546A">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4BB3B0CF">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14:paraId="1D61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0C10366">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93EDAA1">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59E3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756F58D">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0D331F94">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0803B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16C17C1">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31292B37">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7B9F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852DEFD">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05B80EC4">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44E69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9B3F58A">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14:paraId="05793595">
            <w:pPr>
              <w:jc w:val="left"/>
              <w:rPr>
                <w:rFonts w:ascii="宋体" w:hAnsi="宋体"/>
                <w:sz w:val="18"/>
                <w:szCs w:val="18"/>
              </w:rPr>
            </w:pPr>
            <w:r>
              <w:rPr>
                <w:rFonts w:hint="eastAsia" w:ascii="宋体" w:hAnsi="宋体"/>
                <w:sz w:val="18"/>
                <w:szCs w:val="18"/>
              </w:rPr>
              <w:t>单一投资者累计最大购买金额2000万元。</w:t>
            </w:r>
          </w:p>
          <w:p w14:paraId="658452C6">
            <w:pPr>
              <w:rPr>
                <w:szCs w:val="21"/>
              </w:rPr>
            </w:pPr>
            <w:r>
              <w:rPr>
                <w:rFonts w:hint="eastAsia" w:ascii="宋体" w:hAnsi="宋体"/>
                <w:sz w:val="18"/>
                <w:szCs w:val="18"/>
              </w:rPr>
              <w:t>单一投资者持有份额不得超过总份额的50%；投资者持有份额的计算以管理人登记为准。</w:t>
            </w:r>
          </w:p>
        </w:tc>
      </w:tr>
      <w:tr w14:paraId="46E7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D766D97">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675264DC">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14:paraId="2B8FB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B33CC56">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792DB3FD">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49A90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BBC03D8">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3271E7C2">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2E76A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CCE7C1A">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05DD2C1F">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14:paraId="2D2F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2B908EC">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6AF431F">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549C2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89FE20">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08A7C97">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246BE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71A7265">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3DDD47E5">
            <w:pPr>
              <w:adjustRightInd w:val="0"/>
              <w:snapToGrid w:val="0"/>
              <w:spacing w:line="288" w:lineRule="auto"/>
              <w:rPr>
                <w:sz w:val="18"/>
                <w:szCs w:val="18"/>
              </w:rPr>
            </w:pPr>
            <w:r>
              <w:rPr>
                <w:rFonts w:hint="eastAsia"/>
                <w:sz w:val="18"/>
                <w:szCs w:val="18"/>
              </w:rPr>
              <w:t>国家法定工作日</w:t>
            </w:r>
          </w:p>
        </w:tc>
      </w:tr>
      <w:tr w14:paraId="04B4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79C54557">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7CA5AA56">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14:paraId="3202B6F6">
      <w:pPr>
        <w:adjustRightInd w:val="0"/>
        <w:snapToGrid w:val="0"/>
        <w:spacing w:before="156" w:beforeLines="50" w:line="300" w:lineRule="auto"/>
        <w:rPr>
          <w:b/>
          <w:sz w:val="18"/>
          <w:szCs w:val="18"/>
        </w:rPr>
      </w:pPr>
      <w:r>
        <w:rPr>
          <w:rFonts w:hint="eastAsia"/>
          <w:b/>
          <w:sz w:val="18"/>
          <w:szCs w:val="18"/>
        </w:rPr>
        <w:t>投资管理</w:t>
      </w:r>
    </w:p>
    <w:p w14:paraId="3A702FDA">
      <w:pPr>
        <w:adjustRightInd w:val="0"/>
        <w:snapToGrid w:val="0"/>
        <w:spacing w:line="300" w:lineRule="auto"/>
        <w:rPr>
          <w:sz w:val="18"/>
          <w:szCs w:val="18"/>
        </w:rPr>
      </w:pPr>
      <w:r>
        <w:rPr>
          <w:rFonts w:hint="eastAsia"/>
          <w:sz w:val="18"/>
          <w:szCs w:val="18"/>
        </w:rPr>
        <w:t>1、投资范围</w:t>
      </w:r>
    </w:p>
    <w:p w14:paraId="4C8916FA">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14:paraId="3D8C66F3">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14:paraId="35BFCA5F">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14:paraId="5FFE3F02">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14:paraId="4921A0BC">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4D0D9642">
            <w:pPr>
              <w:widowControl/>
              <w:jc w:val="left"/>
              <w:rPr>
                <w:rFonts w:ascii="宋体" w:hAnsi="宋体" w:cs="宋体"/>
                <w:kern w:val="0"/>
                <w:sz w:val="18"/>
                <w:szCs w:val="18"/>
              </w:rPr>
            </w:pPr>
            <w:r>
              <w:rPr>
                <w:rFonts w:hint="eastAsia" w:ascii="宋体" w:hAnsi="宋体" w:cs="宋体"/>
                <w:kern w:val="0"/>
                <w:sz w:val="18"/>
                <w:szCs w:val="18"/>
              </w:rPr>
              <w:t>投资比例</w:t>
            </w:r>
          </w:p>
        </w:tc>
      </w:tr>
      <w:tr w14:paraId="4DD47914">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14:paraId="04CA8898">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14:paraId="5A20A4D0">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3DBD08E5">
            <w:pPr>
              <w:widowControl/>
              <w:jc w:val="center"/>
              <w:rPr>
                <w:rFonts w:ascii="宋体" w:hAnsi="宋体" w:cs="宋体"/>
                <w:kern w:val="0"/>
                <w:sz w:val="18"/>
                <w:szCs w:val="18"/>
              </w:rPr>
            </w:pPr>
            <w:r>
              <w:rPr>
                <w:rFonts w:hint="eastAsia" w:ascii="宋体" w:hAnsi="宋体" w:cs="宋体"/>
                <w:kern w:val="0"/>
                <w:sz w:val="18"/>
                <w:szCs w:val="18"/>
              </w:rPr>
              <w:t>80-100%</w:t>
            </w:r>
          </w:p>
        </w:tc>
      </w:tr>
      <w:tr w14:paraId="1C0AD803">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14:paraId="4A803929">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14:paraId="29FC3EB2">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1D8FDF0E">
            <w:pPr>
              <w:widowControl/>
              <w:jc w:val="left"/>
              <w:rPr>
                <w:rFonts w:ascii="宋体" w:hAnsi="宋体" w:cs="宋体"/>
                <w:kern w:val="0"/>
                <w:sz w:val="18"/>
                <w:szCs w:val="18"/>
              </w:rPr>
            </w:pPr>
          </w:p>
        </w:tc>
      </w:tr>
      <w:tr w14:paraId="24BE033F">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14:paraId="1CE4D7ED">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14:paraId="0AAFB645">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072CE417">
            <w:pPr>
              <w:widowControl/>
              <w:jc w:val="left"/>
              <w:rPr>
                <w:rFonts w:ascii="宋体" w:hAnsi="宋体" w:cs="宋体"/>
                <w:kern w:val="0"/>
                <w:sz w:val="18"/>
                <w:szCs w:val="18"/>
              </w:rPr>
            </w:pPr>
          </w:p>
        </w:tc>
      </w:tr>
      <w:tr w14:paraId="53782D6E">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14:paraId="5BDE2A10">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14:paraId="46DE6A7B">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16C9DF46">
            <w:pPr>
              <w:widowControl/>
              <w:jc w:val="center"/>
              <w:rPr>
                <w:rFonts w:ascii="宋体" w:hAnsi="宋体" w:cs="宋体"/>
                <w:kern w:val="0"/>
                <w:sz w:val="18"/>
                <w:szCs w:val="18"/>
              </w:rPr>
            </w:pPr>
            <w:r>
              <w:rPr>
                <w:rFonts w:hint="eastAsia" w:ascii="宋体" w:hAnsi="宋体" w:cs="宋体"/>
                <w:kern w:val="0"/>
                <w:sz w:val="18"/>
                <w:szCs w:val="18"/>
              </w:rPr>
              <w:t>0-20%</w:t>
            </w:r>
          </w:p>
        </w:tc>
      </w:tr>
    </w:tbl>
    <w:p w14:paraId="36E7481F">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2A84CDBC">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677991A">
      <w:pPr>
        <w:adjustRightInd w:val="0"/>
        <w:snapToGrid w:val="0"/>
        <w:spacing w:line="286" w:lineRule="auto"/>
        <w:rPr>
          <w:sz w:val="18"/>
          <w:szCs w:val="18"/>
        </w:rPr>
      </w:pPr>
      <w:r>
        <w:rPr>
          <w:rFonts w:hint="eastAsia"/>
          <w:sz w:val="18"/>
          <w:szCs w:val="18"/>
        </w:rPr>
        <w:t>3、投资策略</w:t>
      </w:r>
    </w:p>
    <w:p w14:paraId="10F416E9">
      <w:pPr>
        <w:adjustRightInd w:val="0"/>
        <w:snapToGrid w:val="0"/>
        <w:spacing w:line="286" w:lineRule="auto"/>
        <w:rPr>
          <w:sz w:val="18"/>
          <w:szCs w:val="18"/>
        </w:rPr>
      </w:pPr>
      <w:r>
        <w:rPr>
          <w:rFonts w:hint="eastAsia"/>
          <w:sz w:val="18"/>
          <w:szCs w:val="18"/>
        </w:rPr>
        <w:t>本产品采用安全性和流动性优先、追求适度收益的投资策略。</w:t>
      </w:r>
    </w:p>
    <w:p w14:paraId="16AAD9F2">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14:paraId="58556691">
      <w:pPr>
        <w:adjustRightInd w:val="0"/>
        <w:snapToGrid w:val="0"/>
        <w:spacing w:line="286" w:lineRule="auto"/>
        <w:rPr>
          <w:b/>
          <w:sz w:val="18"/>
          <w:szCs w:val="18"/>
        </w:rPr>
      </w:pPr>
      <w:r>
        <w:rPr>
          <w:rFonts w:hint="eastAsia"/>
          <w:b/>
          <w:sz w:val="18"/>
          <w:szCs w:val="18"/>
        </w:rPr>
        <w:t>产品销售</w:t>
      </w:r>
    </w:p>
    <w:p w14:paraId="0A488EFE">
      <w:pPr>
        <w:adjustRightInd w:val="0"/>
        <w:snapToGrid w:val="0"/>
        <w:spacing w:line="286" w:lineRule="auto"/>
        <w:rPr>
          <w:sz w:val="18"/>
          <w:szCs w:val="18"/>
        </w:rPr>
      </w:pPr>
      <w:r>
        <w:rPr>
          <w:rFonts w:hint="eastAsia"/>
          <w:sz w:val="18"/>
          <w:szCs w:val="18"/>
        </w:rPr>
        <w:t>销售地区范围包括浙江省、上海地区等。</w:t>
      </w:r>
    </w:p>
    <w:p w14:paraId="30517E98">
      <w:pPr>
        <w:adjustRightInd w:val="0"/>
        <w:snapToGrid w:val="0"/>
        <w:spacing w:line="286" w:lineRule="auto"/>
        <w:rPr>
          <w:b/>
          <w:bCs/>
          <w:sz w:val="18"/>
          <w:szCs w:val="18"/>
        </w:rPr>
      </w:pPr>
      <w:r>
        <w:rPr>
          <w:rFonts w:hint="eastAsia"/>
          <w:b/>
          <w:bCs/>
          <w:sz w:val="18"/>
          <w:szCs w:val="18"/>
        </w:rPr>
        <w:t>投资管理人</w:t>
      </w:r>
    </w:p>
    <w:p w14:paraId="464D9CF1">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13A7635C">
      <w:pPr>
        <w:adjustRightInd w:val="0"/>
        <w:snapToGrid w:val="0"/>
        <w:spacing w:line="286" w:lineRule="auto"/>
        <w:rPr>
          <w:b/>
          <w:bCs/>
          <w:sz w:val="18"/>
          <w:szCs w:val="18"/>
        </w:rPr>
      </w:pPr>
      <w:r>
        <w:rPr>
          <w:rFonts w:hint="eastAsia"/>
          <w:b/>
          <w:bCs/>
          <w:sz w:val="18"/>
          <w:szCs w:val="18"/>
        </w:rPr>
        <w:t>产品托管人</w:t>
      </w:r>
    </w:p>
    <w:p w14:paraId="1313DE79">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0D564DEE">
      <w:pPr>
        <w:adjustRightInd w:val="0"/>
        <w:snapToGrid w:val="0"/>
        <w:spacing w:line="285" w:lineRule="auto"/>
        <w:rPr>
          <w:sz w:val="18"/>
          <w:szCs w:val="18"/>
        </w:rPr>
      </w:pPr>
      <w:r>
        <w:rPr>
          <w:rFonts w:hint="eastAsia" w:ascii="宋体" w:hAnsi="宋体"/>
          <w:b/>
          <w:bCs/>
          <w:sz w:val="18"/>
          <w:szCs w:val="18"/>
        </w:rPr>
        <w:t>投资合作机构</w:t>
      </w:r>
    </w:p>
    <w:p w14:paraId="777B335F">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14:paraId="7E7ADFD3">
      <w:pPr>
        <w:adjustRightInd w:val="0"/>
        <w:snapToGrid w:val="0"/>
        <w:spacing w:line="286" w:lineRule="auto"/>
        <w:rPr>
          <w:b/>
          <w:bCs/>
          <w:sz w:val="18"/>
          <w:szCs w:val="18"/>
        </w:rPr>
      </w:pPr>
      <w:r>
        <w:rPr>
          <w:rFonts w:hint="eastAsia"/>
          <w:b/>
          <w:bCs/>
          <w:sz w:val="18"/>
          <w:szCs w:val="18"/>
        </w:rPr>
        <w:t>理财产品估值</w:t>
      </w:r>
    </w:p>
    <w:p w14:paraId="54E9BD40">
      <w:pPr>
        <w:adjustRightInd w:val="0"/>
        <w:snapToGrid w:val="0"/>
        <w:spacing w:line="286" w:lineRule="auto"/>
        <w:rPr>
          <w:sz w:val="18"/>
          <w:szCs w:val="18"/>
        </w:rPr>
      </w:pPr>
      <w:r>
        <w:rPr>
          <w:rFonts w:hint="eastAsia"/>
          <w:sz w:val="18"/>
          <w:szCs w:val="18"/>
        </w:rPr>
        <w:t xml:space="preserve">【估值日】 </w:t>
      </w:r>
    </w:p>
    <w:p w14:paraId="27E80436">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14:paraId="4A2967F3">
      <w:pPr>
        <w:adjustRightInd w:val="0"/>
        <w:snapToGrid w:val="0"/>
        <w:spacing w:line="286" w:lineRule="auto"/>
        <w:rPr>
          <w:sz w:val="18"/>
          <w:szCs w:val="18"/>
        </w:rPr>
      </w:pPr>
      <w:r>
        <w:rPr>
          <w:rFonts w:hint="eastAsia"/>
          <w:sz w:val="18"/>
          <w:szCs w:val="18"/>
        </w:rPr>
        <w:t>【估值对象】</w:t>
      </w:r>
    </w:p>
    <w:p w14:paraId="65923BE7">
      <w:pPr>
        <w:adjustRightInd w:val="0"/>
        <w:snapToGrid w:val="0"/>
        <w:spacing w:line="286" w:lineRule="auto"/>
        <w:rPr>
          <w:sz w:val="18"/>
          <w:szCs w:val="18"/>
        </w:rPr>
      </w:pPr>
      <w:r>
        <w:rPr>
          <w:rFonts w:hint="eastAsia"/>
          <w:sz w:val="18"/>
          <w:szCs w:val="18"/>
        </w:rPr>
        <w:t xml:space="preserve"> 本理财产品所拥有的投资资产。</w:t>
      </w:r>
    </w:p>
    <w:p w14:paraId="1611117B">
      <w:pPr>
        <w:adjustRightInd w:val="0"/>
        <w:snapToGrid w:val="0"/>
        <w:spacing w:line="286" w:lineRule="auto"/>
        <w:rPr>
          <w:sz w:val="18"/>
          <w:szCs w:val="18"/>
        </w:rPr>
      </w:pPr>
      <w:r>
        <w:rPr>
          <w:rFonts w:hint="eastAsia"/>
          <w:sz w:val="18"/>
          <w:szCs w:val="18"/>
        </w:rPr>
        <w:t xml:space="preserve">【估值目的】 </w:t>
      </w:r>
    </w:p>
    <w:p w14:paraId="2063A90B">
      <w:pPr>
        <w:adjustRightInd w:val="0"/>
        <w:snapToGrid w:val="0"/>
        <w:spacing w:line="286" w:lineRule="auto"/>
        <w:rPr>
          <w:sz w:val="18"/>
          <w:szCs w:val="18"/>
        </w:rPr>
      </w:pPr>
      <w:r>
        <w:rPr>
          <w:rFonts w:hint="eastAsia"/>
          <w:sz w:val="18"/>
          <w:szCs w:val="18"/>
        </w:rPr>
        <w:t xml:space="preserve">客观、准确反映理财产品的价值。 </w:t>
      </w:r>
    </w:p>
    <w:p w14:paraId="40433F5A">
      <w:pPr>
        <w:adjustRightInd w:val="0"/>
        <w:snapToGrid w:val="0"/>
        <w:spacing w:line="286" w:lineRule="auto"/>
        <w:rPr>
          <w:sz w:val="18"/>
          <w:szCs w:val="18"/>
        </w:rPr>
      </w:pPr>
      <w:r>
        <w:rPr>
          <w:rFonts w:hint="eastAsia"/>
          <w:sz w:val="18"/>
          <w:szCs w:val="18"/>
        </w:rPr>
        <w:t xml:space="preserve">【估值方法】 </w:t>
      </w:r>
    </w:p>
    <w:p w14:paraId="3DF744E2">
      <w:pPr>
        <w:adjustRightInd w:val="0"/>
        <w:snapToGrid w:val="0"/>
        <w:spacing w:line="286" w:lineRule="auto"/>
        <w:rPr>
          <w:sz w:val="18"/>
          <w:szCs w:val="18"/>
        </w:rPr>
      </w:pPr>
      <w:r>
        <w:rPr>
          <w:rFonts w:hint="eastAsia"/>
          <w:sz w:val="18"/>
          <w:szCs w:val="18"/>
        </w:rPr>
        <w:t>1、货币市场工具：</w:t>
      </w:r>
    </w:p>
    <w:p w14:paraId="3E04990B">
      <w:pPr>
        <w:adjustRightInd w:val="0"/>
        <w:snapToGrid w:val="0"/>
        <w:spacing w:line="286" w:lineRule="auto"/>
        <w:rPr>
          <w:sz w:val="18"/>
          <w:szCs w:val="18"/>
        </w:rPr>
      </w:pPr>
      <w:r>
        <w:rPr>
          <w:rFonts w:hint="eastAsia"/>
          <w:sz w:val="18"/>
          <w:szCs w:val="18"/>
        </w:rPr>
        <w:t>（1）银行存款类资产及债券回购以本金列示、逐日计提利息。</w:t>
      </w:r>
    </w:p>
    <w:p w14:paraId="239BED31">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EE16785">
      <w:pPr>
        <w:adjustRightInd w:val="0"/>
        <w:snapToGrid w:val="0"/>
        <w:spacing w:line="286" w:lineRule="auto"/>
        <w:rPr>
          <w:sz w:val="18"/>
          <w:szCs w:val="18"/>
        </w:rPr>
      </w:pPr>
      <w:r>
        <w:rPr>
          <w:rFonts w:hint="eastAsia"/>
          <w:sz w:val="18"/>
          <w:szCs w:val="18"/>
        </w:rPr>
        <w:t>2、债券类资产：</w:t>
      </w:r>
    </w:p>
    <w:p w14:paraId="58DEC379">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32D469B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4252C7E8">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309E0301">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3C5E0BB5">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50D500DF">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323DCDA4">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6F56CDB0">
      <w:pPr>
        <w:adjustRightInd w:val="0"/>
        <w:snapToGrid w:val="0"/>
        <w:spacing w:line="286" w:lineRule="auto"/>
        <w:rPr>
          <w:sz w:val="18"/>
          <w:szCs w:val="18"/>
        </w:rPr>
      </w:pPr>
      <w:r>
        <w:rPr>
          <w:rFonts w:hint="eastAsia"/>
          <w:sz w:val="18"/>
          <w:szCs w:val="18"/>
        </w:rPr>
        <w:t>5、其他资产：</w:t>
      </w:r>
    </w:p>
    <w:p w14:paraId="3E86889B">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5D43668A">
      <w:pPr>
        <w:adjustRightInd w:val="0"/>
        <w:snapToGrid w:val="0"/>
        <w:spacing w:line="286" w:lineRule="auto"/>
        <w:rPr>
          <w:sz w:val="18"/>
          <w:szCs w:val="18"/>
        </w:rPr>
      </w:pPr>
      <w:r>
        <w:rPr>
          <w:rFonts w:hint="eastAsia"/>
          <w:sz w:val="18"/>
          <w:szCs w:val="18"/>
        </w:rPr>
        <w:t>6、其他事项</w:t>
      </w:r>
    </w:p>
    <w:p w14:paraId="5E10587F">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5609B4C4">
      <w:pPr>
        <w:adjustRightInd w:val="0"/>
        <w:snapToGrid w:val="0"/>
        <w:spacing w:line="286" w:lineRule="auto"/>
        <w:rPr>
          <w:sz w:val="18"/>
          <w:szCs w:val="18"/>
        </w:rPr>
      </w:pPr>
      <w:r>
        <w:rPr>
          <w:rFonts w:hint="eastAsia"/>
          <w:sz w:val="18"/>
          <w:szCs w:val="18"/>
        </w:rPr>
        <w:t>【估值错误处理】</w:t>
      </w:r>
    </w:p>
    <w:p w14:paraId="5CF882FF">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45D97FC6">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1FF51F15">
      <w:pPr>
        <w:adjustRightInd w:val="0"/>
        <w:snapToGrid w:val="0"/>
        <w:spacing w:line="286" w:lineRule="auto"/>
        <w:rPr>
          <w:sz w:val="18"/>
          <w:szCs w:val="18"/>
        </w:rPr>
      </w:pPr>
      <w:r>
        <w:rPr>
          <w:rFonts w:hint="eastAsia"/>
          <w:sz w:val="18"/>
          <w:szCs w:val="18"/>
        </w:rPr>
        <w:t>【暂停估值】</w:t>
      </w:r>
    </w:p>
    <w:p w14:paraId="070A0F54">
      <w:pPr>
        <w:adjustRightInd w:val="0"/>
        <w:snapToGrid w:val="0"/>
        <w:spacing w:line="286" w:lineRule="auto"/>
        <w:rPr>
          <w:sz w:val="18"/>
          <w:szCs w:val="18"/>
        </w:rPr>
      </w:pPr>
      <w:r>
        <w:rPr>
          <w:rFonts w:hint="eastAsia"/>
          <w:sz w:val="18"/>
          <w:szCs w:val="18"/>
        </w:rPr>
        <w:t>本理财计划可暂停估值的情形如下：</w:t>
      </w:r>
    </w:p>
    <w:p w14:paraId="61CF2BAF">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1EDF6E2E">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32A7A257">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9A693B5">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35A58D3C">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62DAEFA1">
      <w:pPr>
        <w:adjustRightInd w:val="0"/>
        <w:snapToGrid w:val="0"/>
        <w:spacing w:line="286" w:lineRule="auto"/>
        <w:rPr>
          <w:b/>
          <w:sz w:val="18"/>
          <w:szCs w:val="18"/>
        </w:rPr>
      </w:pPr>
      <w:r>
        <w:rPr>
          <w:rFonts w:hint="eastAsia"/>
          <w:b/>
          <w:sz w:val="18"/>
          <w:szCs w:val="18"/>
        </w:rPr>
        <w:t>理财收益测算及相关费用</w:t>
      </w:r>
    </w:p>
    <w:p w14:paraId="6B9F70C6">
      <w:pPr>
        <w:adjustRightInd w:val="0"/>
        <w:snapToGrid w:val="0"/>
        <w:spacing w:line="286" w:lineRule="auto"/>
        <w:rPr>
          <w:sz w:val="18"/>
          <w:szCs w:val="18"/>
        </w:rPr>
      </w:pPr>
      <w:r>
        <w:rPr>
          <w:sz w:val="18"/>
          <w:szCs w:val="18"/>
        </w:rPr>
        <w:t>1</w:t>
      </w:r>
      <w:r>
        <w:rPr>
          <w:rFonts w:hint="eastAsia"/>
          <w:sz w:val="18"/>
          <w:szCs w:val="18"/>
        </w:rPr>
        <w:t>、业绩比较基准</w:t>
      </w:r>
    </w:p>
    <w:p w14:paraId="31BDD9D6">
      <w:pPr>
        <w:adjustRightInd w:val="0"/>
        <w:snapToGrid w:val="0"/>
        <w:spacing w:line="286" w:lineRule="auto"/>
        <w:rPr>
          <w:sz w:val="18"/>
          <w:szCs w:val="18"/>
        </w:rPr>
      </w:pPr>
      <w:r>
        <w:rPr>
          <w:rFonts w:hint="eastAsia"/>
          <w:color w:val="000000"/>
          <w:sz w:val="18"/>
          <w:szCs w:val="18"/>
        </w:rPr>
        <w:t>本产品业绩比较基准为2.50%（年化）。本产品业绩比较基准仅作为计提产品浮动管理费的依据，不构成温州银行对该理财产品的任何收益承诺。</w:t>
      </w:r>
    </w:p>
    <w:p w14:paraId="4EB9B8A3">
      <w:pPr>
        <w:adjustRightInd w:val="0"/>
        <w:snapToGrid w:val="0"/>
        <w:spacing w:line="286" w:lineRule="auto"/>
        <w:rPr>
          <w:sz w:val="18"/>
          <w:szCs w:val="18"/>
        </w:rPr>
      </w:pPr>
      <w:r>
        <w:rPr>
          <w:rFonts w:hint="eastAsia"/>
          <w:sz w:val="18"/>
          <w:szCs w:val="18"/>
        </w:rPr>
        <w:t>2、理财产品单位净值</w:t>
      </w:r>
    </w:p>
    <w:p w14:paraId="46926FFA">
      <w:pPr>
        <w:adjustRightInd w:val="0"/>
        <w:snapToGrid w:val="0"/>
        <w:spacing w:line="286" w:lineRule="auto"/>
        <w:rPr>
          <w:sz w:val="18"/>
          <w:szCs w:val="18"/>
        </w:rPr>
      </w:pPr>
      <w:r>
        <w:rPr>
          <w:rFonts w:hint="eastAsia"/>
          <w:sz w:val="18"/>
          <w:szCs w:val="18"/>
        </w:rPr>
        <w:t>理财产品单位净值=理财产品净值÷理财产品份额</w:t>
      </w:r>
    </w:p>
    <w:p w14:paraId="4FACC1EB">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75F6DBF7">
      <w:pPr>
        <w:adjustRightInd w:val="0"/>
        <w:snapToGrid w:val="0"/>
        <w:spacing w:line="286" w:lineRule="auto"/>
        <w:rPr>
          <w:sz w:val="18"/>
          <w:szCs w:val="18"/>
        </w:rPr>
      </w:pPr>
      <w:r>
        <w:rPr>
          <w:rFonts w:hint="eastAsia"/>
          <w:sz w:val="18"/>
          <w:szCs w:val="18"/>
        </w:rPr>
        <w:t>3、认购</w:t>
      </w:r>
    </w:p>
    <w:p w14:paraId="7052D35F">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2295D9D6">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1C58D946">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14:paraId="72A3FADA">
      <w:pPr>
        <w:adjustRightInd w:val="0"/>
        <w:snapToGrid w:val="0"/>
        <w:spacing w:line="286" w:lineRule="auto"/>
        <w:rPr>
          <w:sz w:val="18"/>
          <w:szCs w:val="18"/>
        </w:rPr>
      </w:pPr>
      <w:r>
        <w:rPr>
          <w:rFonts w:hint="eastAsia"/>
          <w:sz w:val="18"/>
          <w:szCs w:val="18"/>
        </w:rPr>
        <w:t>3）法律法规规定或监管机构认定的其他情形。</w:t>
      </w:r>
    </w:p>
    <w:p w14:paraId="589AC836">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47314243">
      <w:pPr>
        <w:adjustRightInd w:val="0"/>
        <w:snapToGrid w:val="0"/>
        <w:spacing w:line="286" w:lineRule="auto"/>
        <w:rPr>
          <w:sz w:val="18"/>
          <w:szCs w:val="18"/>
        </w:rPr>
      </w:pPr>
      <w:r>
        <w:rPr>
          <w:rFonts w:hint="eastAsia"/>
          <w:sz w:val="18"/>
          <w:szCs w:val="18"/>
        </w:rPr>
        <w:t>4、终止（包括到期终止、提前终止、延期终止）</w:t>
      </w:r>
    </w:p>
    <w:p w14:paraId="19415C52">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2027年3月16日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35C44B31">
      <w:pPr>
        <w:adjustRightInd w:val="0"/>
        <w:snapToGrid w:val="0"/>
        <w:spacing w:line="286" w:lineRule="auto"/>
        <w:rPr>
          <w:sz w:val="18"/>
          <w:szCs w:val="18"/>
        </w:rPr>
      </w:pPr>
      <w:r>
        <w:rPr>
          <w:rFonts w:hint="eastAsia"/>
          <w:sz w:val="18"/>
          <w:szCs w:val="18"/>
        </w:rPr>
        <w:t>5、相关费用</w:t>
      </w:r>
    </w:p>
    <w:p w14:paraId="0C8D194C">
      <w:pPr>
        <w:adjustRightInd w:val="0"/>
        <w:snapToGrid w:val="0"/>
        <w:spacing w:line="286" w:lineRule="auto"/>
        <w:rPr>
          <w:sz w:val="18"/>
          <w:szCs w:val="18"/>
        </w:rPr>
      </w:pPr>
      <w:r>
        <w:rPr>
          <w:rFonts w:hint="eastAsia"/>
          <w:sz w:val="18"/>
          <w:szCs w:val="18"/>
        </w:rPr>
        <w:t>（1）理财管理人的固定管理费</w:t>
      </w:r>
    </w:p>
    <w:p w14:paraId="2D0A29CB">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3669BE46">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2C19F8B8">
      <w:pPr>
        <w:adjustRightInd w:val="0"/>
        <w:snapToGrid w:val="0"/>
        <w:spacing w:line="286" w:lineRule="auto"/>
        <w:rPr>
          <w:sz w:val="18"/>
          <w:szCs w:val="18"/>
        </w:rPr>
      </w:pPr>
      <w:r>
        <w:rPr>
          <w:rFonts w:hint="eastAsia"/>
          <w:sz w:val="18"/>
          <w:szCs w:val="18"/>
        </w:rPr>
        <w:t>H＝E×固定管理费率÷365</w:t>
      </w:r>
    </w:p>
    <w:p w14:paraId="2C176828">
      <w:pPr>
        <w:adjustRightInd w:val="0"/>
        <w:snapToGrid w:val="0"/>
        <w:spacing w:line="286" w:lineRule="auto"/>
        <w:rPr>
          <w:sz w:val="18"/>
          <w:szCs w:val="18"/>
        </w:rPr>
      </w:pPr>
      <w:r>
        <w:rPr>
          <w:rFonts w:hint="eastAsia"/>
          <w:sz w:val="18"/>
          <w:szCs w:val="18"/>
        </w:rPr>
        <w:t>H为每日应计提的固定管理费</w:t>
      </w:r>
    </w:p>
    <w:p w14:paraId="49C01DDC">
      <w:pPr>
        <w:adjustRightInd w:val="0"/>
        <w:snapToGrid w:val="0"/>
        <w:spacing w:line="286" w:lineRule="auto"/>
        <w:rPr>
          <w:sz w:val="18"/>
          <w:szCs w:val="18"/>
        </w:rPr>
      </w:pPr>
      <w:r>
        <w:rPr>
          <w:rFonts w:hint="eastAsia"/>
          <w:sz w:val="18"/>
          <w:szCs w:val="18"/>
        </w:rPr>
        <w:t>E为本计划前一日资产净值</w:t>
      </w:r>
    </w:p>
    <w:p w14:paraId="61F77466">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64AD28E3">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1248B72C">
      <w:pPr>
        <w:adjustRightInd w:val="0"/>
        <w:snapToGrid w:val="0"/>
        <w:spacing w:line="286" w:lineRule="auto"/>
        <w:rPr>
          <w:sz w:val="18"/>
          <w:szCs w:val="18"/>
        </w:rPr>
      </w:pPr>
      <w:r>
        <w:rPr>
          <w:rFonts w:hint="eastAsia"/>
          <w:sz w:val="18"/>
          <w:szCs w:val="18"/>
        </w:rPr>
        <w:t>（2）理财托管人的托管费</w:t>
      </w:r>
    </w:p>
    <w:p w14:paraId="3C0FD126">
      <w:pPr>
        <w:adjustRightInd w:val="0"/>
        <w:snapToGrid w:val="0"/>
        <w:spacing w:line="286" w:lineRule="auto"/>
        <w:rPr>
          <w:sz w:val="18"/>
          <w:szCs w:val="18"/>
        </w:rPr>
      </w:pPr>
      <w:r>
        <w:rPr>
          <w:rFonts w:hint="eastAsia"/>
          <w:sz w:val="18"/>
          <w:szCs w:val="18"/>
        </w:rPr>
        <w:t>理财计划财产的年托管费率为0.005%，计算方法如下：</w:t>
      </w:r>
    </w:p>
    <w:p w14:paraId="6EB63B42">
      <w:pPr>
        <w:adjustRightInd w:val="0"/>
        <w:snapToGrid w:val="0"/>
        <w:spacing w:line="286" w:lineRule="auto"/>
        <w:rPr>
          <w:sz w:val="18"/>
          <w:szCs w:val="18"/>
        </w:rPr>
      </w:pPr>
      <w:r>
        <w:rPr>
          <w:rFonts w:hint="eastAsia"/>
          <w:sz w:val="18"/>
          <w:szCs w:val="18"/>
        </w:rPr>
        <w:t>H＝E×0.005％÷365</w:t>
      </w:r>
    </w:p>
    <w:p w14:paraId="7A928468">
      <w:pPr>
        <w:adjustRightInd w:val="0"/>
        <w:snapToGrid w:val="0"/>
        <w:spacing w:line="286" w:lineRule="auto"/>
        <w:rPr>
          <w:sz w:val="18"/>
          <w:szCs w:val="18"/>
        </w:rPr>
      </w:pPr>
      <w:r>
        <w:rPr>
          <w:rFonts w:hint="eastAsia"/>
          <w:sz w:val="18"/>
          <w:szCs w:val="18"/>
        </w:rPr>
        <w:t>H为每日应计提的托管费</w:t>
      </w:r>
    </w:p>
    <w:p w14:paraId="56C8591F">
      <w:pPr>
        <w:adjustRightInd w:val="0"/>
        <w:snapToGrid w:val="0"/>
        <w:spacing w:line="286" w:lineRule="auto"/>
        <w:rPr>
          <w:sz w:val="18"/>
          <w:szCs w:val="18"/>
        </w:rPr>
      </w:pPr>
      <w:r>
        <w:rPr>
          <w:rFonts w:hint="eastAsia"/>
          <w:sz w:val="18"/>
          <w:szCs w:val="18"/>
        </w:rPr>
        <w:t>E为本计划前一日资产净值</w:t>
      </w:r>
    </w:p>
    <w:p w14:paraId="74382352">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3C82366E">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0E743A92">
      <w:pPr>
        <w:adjustRightInd w:val="0"/>
        <w:snapToGrid w:val="0"/>
        <w:spacing w:line="286" w:lineRule="auto"/>
        <w:rPr>
          <w:sz w:val="18"/>
          <w:szCs w:val="18"/>
        </w:rPr>
      </w:pPr>
      <w:r>
        <w:rPr>
          <w:rFonts w:hint="eastAsia"/>
          <w:sz w:val="18"/>
          <w:szCs w:val="18"/>
        </w:rPr>
        <w:t>（3）浮动管理费</w:t>
      </w:r>
    </w:p>
    <w:p w14:paraId="2AA2F7B7">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7A6D98A9">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2BE5C08F">
      <w:pPr>
        <w:adjustRightInd w:val="0"/>
        <w:snapToGrid w:val="0"/>
        <w:spacing w:line="286" w:lineRule="auto"/>
        <w:rPr>
          <w:sz w:val="18"/>
          <w:szCs w:val="18"/>
        </w:rPr>
      </w:pPr>
      <w:r>
        <w:rPr>
          <w:rFonts w:hint="eastAsia"/>
          <w:sz w:val="18"/>
          <w:szCs w:val="18"/>
        </w:rPr>
        <w:t>6、投资者所得收益</w:t>
      </w:r>
    </w:p>
    <w:p w14:paraId="053D7413">
      <w:pPr>
        <w:adjustRightInd w:val="0"/>
        <w:snapToGrid w:val="0"/>
        <w:spacing w:line="286" w:lineRule="auto"/>
        <w:rPr>
          <w:sz w:val="18"/>
          <w:szCs w:val="18"/>
        </w:rPr>
      </w:pPr>
      <w:r>
        <w:rPr>
          <w:rFonts w:hint="eastAsia"/>
          <w:sz w:val="18"/>
          <w:szCs w:val="18"/>
        </w:rPr>
        <w:t>（1）计算公式</w:t>
      </w:r>
    </w:p>
    <w:p w14:paraId="3DD858EE">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6E09F660">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14:paraId="597841A3">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65F6AFBB">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 (1.0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%&gt;2.</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29</w:t>
      </w:r>
      <w:r>
        <w:rPr>
          <w:rFonts w:hint="eastAsia"/>
          <w:sz w:val="18"/>
          <w:szCs w:val="18"/>
        </w:rPr>
        <w:t>-1.00×(1+2.</w:t>
      </w:r>
      <w:r>
        <w:rPr>
          <w:rFonts w:hint="eastAsia"/>
          <w:sz w:val="18"/>
          <w:szCs w:val="18"/>
          <w:lang w:val="en-US" w:eastAsia="zh-CN"/>
        </w:rPr>
        <w:t>5</w:t>
      </w:r>
      <w:r>
        <w:rPr>
          <w:rFonts w:hint="eastAsia"/>
          <w:sz w:val="18"/>
          <w:szCs w:val="18"/>
        </w:rPr>
        <w:t>%×399/365)]×80%=</w:t>
      </w:r>
      <w:r>
        <w:rPr>
          <w:rFonts w:hint="eastAsia"/>
          <w:sz w:val="18"/>
          <w:szCs w:val="18"/>
          <w:lang w:val="en-US" w:eastAsia="zh-CN"/>
        </w:rPr>
        <w:t>1336.99</w:t>
      </w:r>
      <w:r>
        <w:rPr>
          <w:rFonts w:hint="eastAsia"/>
          <w:sz w:val="18"/>
          <w:szCs w:val="18"/>
        </w:rPr>
        <w:t>（元）。扣除浮动管理费后，客户最终收益为：1,000,000.00×（1.0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1336.99</w:t>
      </w:r>
      <w:r>
        <w:rPr>
          <w:rFonts w:hint="eastAsia"/>
          <w:sz w:val="18"/>
          <w:szCs w:val="18"/>
        </w:rPr>
        <w:t>=2</w:t>
      </w:r>
      <w:r>
        <w:rPr>
          <w:rFonts w:hint="eastAsia"/>
          <w:sz w:val="18"/>
          <w:szCs w:val="18"/>
          <w:lang w:val="en-US" w:eastAsia="zh-CN"/>
        </w:rPr>
        <w:t>7663.01</w:t>
      </w:r>
      <w:r>
        <w:rPr>
          <w:rFonts w:hint="eastAsia"/>
          <w:sz w:val="18"/>
          <w:szCs w:val="18"/>
        </w:rPr>
        <w:t>（元），产品到期时，客户获得的实际收益相当于达到年化收益率水平为：2</w:t>
      </w:r>
      <w:r>
        <w:rPr>
          <w:rFonts w:hint="eastAsia"/>
          <w:sz w:val="18"/>
          <w:szCs w:val="18"/>
          <w:lang w:val="en-US" w:eastAsia="zh-CN"/>
        </w:rPr>
        <w:t>7663.01</w:t>
      </w:r>
      <w:r>
        <w:rPr>
          <w:rFonts w:hint="eastAsia"/>
          <w:sz w:val="18"/>
          <w:szCs w:val="18"/>
        </w:rPr>
        <w:t>/1,000,000.00×365/399=2.</w:t>
      </w:r>
      <w:r>
        <w:rPr>
          <w:rFonts w:hint="eastAsia"/>
          <w:sz w:val="18"/>
          <w:szCs w:val="18"/>
          <w:lang w:val="en-US" w:eastAsia="zh-CN"/>
        </w:rPr>
        <w:t>53</w:t>
      </w:r>
      <w:r>
        <w:rPr>
          <w:rFonts w:hint="eastAsia"/>
          <w:sz w:val="18"/>
          <w:szCs w:val="18"/>
        </w:rPr>
        <w:t>%。</w:t>
      </w:r>
    </w:p>
    <w:p w14:paraId="091AE340">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14:paraId="1F52C764">
      <w:pPr>
        <w:adjustRightInd w:val="0"/>
        <w:snapToGrid w:val="0"/>
        <w:spacing w:line="286" w:lineRule="auto"/>
        <w:rPr>
          <w:rFonts w:hint="eastAsia"/>
          <w:sz w:val="18"/>
          <w:szCs w:val="18"/>
        </w:rPr>
      </w:pPr>
      <w:r>
        <w:rPr>
          <w:rFonts w:hint="eastAsia"/>
          <w:sz w:val="18"/>
          <w:szCs w:val="18"/>
        </w:rPr>
        <w:t>以某客户投资100万元为例，购买时产品净值为1.00元，折</w:t>
      </w:r>
      <w:bookmarkStart w:id="0" w:name="_GoBack"/>
      <w:bookmarkEnd w:id="0"/>
      <w:r>
        <w:rPr>
          <w:rFonts w:hint="eastAsia"/>
          <w:sz w:val="18"/>
          <w:szCs w:val="18"/>
        </w:rPr>
        <w:t>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%。到期时扣除托管费、销售服务费、固定管理费及其他费用（如有）后，如产品净值为1.027，此时，(1.027/1.00-1)×365/399=2.47%&lt;2.</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%，即投资收益未达到业绩比较基准，则投资管理人不收取浮动管理费，客户最终收益为：1,000,000.00×(1.027-1.00）=27000（元）。</w:t>
      </w:r>
    </w:p>
    <w:p w14:paraId="57D4B0E4">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071C7533">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14:paraId="301319E3">
      <w:pPr>
        <w:adjustRightInd w:val="0"/>
        <w:snapToGrid w:val="0"/>
        <w:spacing w:line="286" w:lineRule="auto"/>
        <w:rPr>
          <w:sz w:val="18"/>
          <w:szCs w:val="18"/>
        </w:rPr>
      </w:pPr>
      <w:r>
        <w:rPr>
          <w:rFonts w:hint="eastAsia"/>
          <w:sz w:val="18"/>
          <w:szCs w:val="18"/>
        </w:rPr>
        <w:t>7、本金及理财收益风险</w:t>
      </w:r>
    </w:p>
    <w:p w14:paraId="3A2F408C">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9E5201C">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C514BFD">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14:paraId="0DDFA0B7">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09370380">
      <w:pPr>
        <w:adjustRightInd w:val="0"/>
        <w:snapToGrid w:val="0"/>
        <w:spacing w:line="286" w:lineRule="auto"/>
        <w:rPr>
          <w:sz w:val="18"/>
          <w:szCs w:val="18"/>
        </w:rPr>
      </w:pPr>
      <w:r>
        <w:rPr>
          <w:rFonts w:hint="eastAsia"/>
          <w:sz w:val="18"/>
          <w:szCs w:val="18"/>
        </w:rPr>
        <w:t>8、理财计划提前终止时投资者所得收益</w:t>
      </w:r>
    </w:p>
    <w:p w14:paraId="36687593">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1F02FC2E">
      <w:pPr>
        <w:adjustRightInd w:val="0"/>
        <w:snapToGrid w:val="0"/>
        <w:spacing w:line="286" w:lineRule="auto"/>
        <w:rPr>
          <w:b/>
          <w:sz w:val="18"/>
          <w:szCs w:val="18"/>
        </w:rPr>
      </w:pPr>
      <w:r>
        <w:rPr>
          <w:rFonts w:hint="eastAsia"/>
          <w:b/>
          <w:sz w:val="18"/>
          <w:szCs w:val="18"/>
        </w:rPr>
        <w:t>本金及理财收益支付</w:t>
      </w:r>
    </w:p>
    <w:p w14:paraId="441A945A">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2F376B0E">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756DC5D6">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2EAE134E">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01BD33EF">
      <w:pPr>
        <w:adjustRightInd w:val="0"/>
        <w:snapToGrid w:val="0"/>
        <w:spacing w:line="286" w:lineRule="auto"/>
        <w:rPr>
          <w:b/>
          <w:sz w:val="18"/>
          <w:szCs w:val="18"/>
        </w:rPr>
      </w:pPr>
      <w:r>
        <w:rPr>
          <w:rFonts w:hint="eastAsia"/>
          <w:b/>
          <w:sz w:val="18"/>
          <w:szCs w:val="18"/>
        </w:rPr>
        <w:t>税费规定</w:t>
      </w:r>
    </w:p>
    <w:p w14:paraId="185AFAD9">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6717E4C6">
      <w:pPr>
        <w:widowControl/>
        <w:adjustRightInd w:val="0"/>
        <w:snapToGrid w:val="0"/>
        <w:spacing w:line="286" w:lineRule="auto"/>
        <w:outlineLvl w:val="0"/>
        <w:rPr>
          <w:b/>
          <w:sz w:val="18"/>
          <w:szCs w:val="18"/>
        </w:rPr>
      </w:pPr>
      <w:r>
        <w:rPr>
          <w:rFonts w:hint="eastAsia"/>
          <w:b/>
          <w:sz w:val="18"/>
          <w:szCs w:val="18"/>
        </w:rPr>
        <w:t>风险提示</w:t>
      </w:r>
    </w:p>
    <w:p w14:paraId="40D80452">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3AF575F5">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4F3E4C19">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16C717F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14:paraId="574D90A7">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14:paraId="6494F727">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4973A180">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24CB26A9">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443B40AC">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40D5E091">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4868E690">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41107727">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2AD19F47">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5EFFB9B6">
      <w:pPr>
        <w:adjustRightInd w:val="0"/>
        <w:snapToGrid w:val="0"/>
        <w:spacing w:line="286" w:lineRule="auto"/>
        <w:rPr>
          <w:sz w:val="18"/>
          <w:szCs w:val="18"/>
        </w:rPr>
      </w:pPr>
      <w:r>
        <w:rPr>
          <w:rFonts w:hint="eastAsia" w:ascii="宋体" w:hAnsi="宋体"/>
          <w:b/>
          <w:sz w:val="18"/>
          <w:szCs w:val="18"/>
        </w:rPr>
        <w:t>风险监测和控制措施：</w:t>
      </w:r>
    </w:p>
    <w:p w14:paraId="1F53ED54">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2E5B51AB">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14BDFF56">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F021116">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14254D8D">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7467DE84">
      <w:pPr>
        <w:adjustRightInd w:val="0"/>
        <w:snapToGrid w:val="0"/>
        <w:spacing w:line="286" w:lineRule="auto"/>
        <w:rPr>
          <w:b/>
          <w:sz w:val="18"/>
          <w:szCs w:val="18"/>
        </w:rPr>
      </w:pPr>
      <w:r>
        <w:rPr>
          <w:rFonts w:hint="eastAsia"/>
          <w:b/>
          <w:sz w:val="18"/>
          <w:szCs w:val="18"/>
        </w:rPr>
        <w:t>信息公告</w:t>
      </w:r>
    </w:p>
    <w:p w14:paraId="013A0952">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71EFAA00">
      <w:pPr>
        <w:adjustRightInd w:val="0"/>
        <w:snapToGrid w:val="0"/>
        <w:spacing w:line="286" w:lineRule="auto"/>
        <w:rPr>
          <w:sz w:val="18"/>
          <w:szCs w:val="18"/>
        </w:rPr>
      </w:pPr>
      <w:r>
        <w:rPr>
          <w:rFonts w:hint="eastAsia"/>
          <w:sz w:val="18"/>
          <w:szCs w:val="18"/>
        </w:rPr>
        <w:t>2、定期公告：</w:t>
      </w:r>
    </w:p>
    <w:p w14:paraId="32672C29">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14:paraId="00D48DB7">
      <w:pPr>
        <w:adjustRightInd w:val="0"/>
        <w:snapToGrid w:val="0"/>
        <w:spacing w:line="286" w:lineRule="auto"/>
        <w:rPr>
          <w:sz w:val="18"/>
          <w:szCs w:val="18"/>
        </w:rPr>
      </w:pPr>
      <w:r>
        <w:rPr>
          <w:rFonts w:hint="eastAsia"/>
          <w:sz w:val="18"/>
          <w:szCs w:val="18"/>
        </w:rPr>
        <w:t>3、临时性公告</w:t>
      </w:r>
    </w:p>
    <w:p w14:paraId="036A7D64">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1E9569DA">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14:paraId="4C363A8A">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A81FDE0">
      <w:pPr>
        <w:adjustRightInd w:val="0"/>
        <w:snapToGrid w:val="0"/>
        <w:spacing w:line="286" w:lineRule="auto"/>
        <w:rPr>
          <w:sz w:val="18"/>
          <w:szCs w:val="18"/>
        </w:rPr>
      </w:pPr>
      <w:r>
        <w:rPr>
          <w:rFonts w:hint="eastAsia"/>
          <w:sz w:val="18"/>
          <w:szCs w:val="18"/>
        </w:rPr>
        <w:t>5、到期公告：</w:t>
      </w:r>
    </w:p>
    <w:p w14:paraId="398452F6">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564FEEBA">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1600C5F2">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30AE7936">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42645E53">
      <w:pPr>
        <w:adjustRightInd w:val="0"/>
        <w:snapToGrid w:val="0"/>
        <w:spacing w:line="286" w:lineRule="auto"/>
        <w:rPr>
          <w:b/>
          <w:bCs/>
          <w:sz w:val="18"/>
          <w:szCs w:val="18"/>
        </w:rPr>
      </w:pPr>
      <w:r>
        <w:rPr>
          <w:rFonts w:hint="eastAsia"/>
          <w:b/>
          <w:bCs/>
          <w:sz w:val="18"/>
          <w:szCs w:val="18"/>
        </w:rPr>
        <w:t>投资者信息管理</w:t>
      </w:r>
    </w:p>
    <w:p w14:paraId="6F5C5027">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670B0B74">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3A5FE78F">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7C5BEA21">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5EADF578">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00E0744D">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14:paraId="0EF5041A">
      <w:pPr>
        <w:adjustRightInd w:val="0"/>
        <w:snapToGrid w:val="0"/>
        <w:spacing w:line="286" w:lineRule="auto"/>
        <w:rPr>
          <w:b/>
          <w:sz w:val="18"/>
          <w:szCs w:val="18"/>
        </w:rPr>
      </w:pPr>
      <w:r>
        <w:rPr>
          <w:rFonts w:hint="eastAsia"/>
          <w:b/>
          <w:sz w:val="18"/>
          <w:szCs w:val="18"/>
        </w:rPr>
        <w:t>产品认购</w:t>
      </w:r>
    </w:p>
    <w:p w14:paraId="21F90A01">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2C192AEA">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58D27A4F">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4B53416C">
      <w:pPr>
        <w:adjustRightInd w:val="0"/>
        <w:snapToGrid w:val="0"/>
        <w:spacing w:line="286" w:lineRule="auto"/>
        <w:rPr>
          <w:sz w:val="18"/>
          <w:szCs w:val="18"/>
        </w:rPr>
      </w:pPr>
      <w:r>
        <w:rPr>
          <w:rFonts w:hint="eastAsia"/>
          <w:b/>
          <w:sz w:val="18"/>
          <w:szCs w:val="18"/>
        </w:rPr>
        <w:t>法律适用与争议解决</w:t>
      </w:r>
    </w:p>
    <w:p w14:paraId="4F827CC4">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199F99D4">
      <w:pPr>
        <w:adjustRightInd w:val="0"/>
        <w:snapToGrid w:val="0"/>
        <w:spacing w:line="286" w:lineRule="auto"/>
        <w:rPr>
          <w:sz w:val="18"/>
          <w:szCs w:val="18"/>
        </w:rPr>
      </w:pPr>
      <w:r>
        <w:rPr>
          <w:rFonts w:hint="eastAsia"/>
          <w:sz w:val="18"/>
          <w:szCs w:val="18"/>
        </w:rPr>
        <w:t>2、争议解决</w:t>
      </w:r>
    </w:p>
    <w:p w14:paraId="081A31C8">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5D566A2A">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74D78D84">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26003</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14:paraId="00D25965">
      <w:pPr>
        <w:spacing w:before="312" w:beforeLines="100" w:line="288" w:lineRule="auto"/>
        <w:rPr>
          <w:rFonts w:ascii="宋体" w:hAnsi="宋体"/>
          <w:szCs w:val="21"/>
        </w:rPr>
      </w:pPr>
      <w:r>
        <w:rPr>
          <w:rFonts w:hint="eastAsia" w:ascii="宋体" w:hAnsi="宋体"/>
          <w:szCs w:val="21"/>
        </w:rPr>
        <w:t xml:space="preserve">         投资者签章：                                 日期：</w:t>
      </w:r>
    </w:p>
    <w:p w14:paraId="0BC49BEA">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A2B98">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14:paraId="04034AE9">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37B36"/>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13478</Characters>
  <Lines>100</Lines>
  <Paragraphs>28</Paragraphs>
  <TotalTime>0</TotalTime>
  <ScaleCrop>false</ScaleCrop>
  <LinksUpToDate>false</LinksUpToDate>
  <CharactersWithSpaces>13773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大杰子啦</cp:lastModifiedBy>
  <dcterms:modified xsi:type="dcterms:W3CDTF">2026-01-30T06:23:59Z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