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20003号开放式净值型银行理财计划产品说明书》、《温州银行“金鹿理财-温盈”20003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C1092220000049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2020年1月9日</w:t>
            </w:r>
            <w:r>
              <w:rPr>
                <w:rFonts w:hint="eastAsia"/>
                <w:sz w:val="18"/>
                <w:szCs w:val="18"/>
                <w:u w:val="single"/>
              </w:rPr>
              <w:t>至</w:t>
            </w:r>
            <w:r>
              <w:rPr>
                <w:rFonts w:hint="eastAsia"/>
                <w:color w:val="000000"/>
                <w:sz w:val="18"/>
                <w:szCs w:val="18"/>
                <w:u w:val="single"/>
                <w:lang w:val="en-US" w:eastAsia="zh-CN"/>
              </w:rPr>
              <w:t>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：本理财计划成立日为2020年1月15日，从成立日起，每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20003号开放式净值型银行理财计划风险揭示书》、《温州银行“金鹿理财”银行理财计划合约》、《温州银行“金鹿理财-温盈”20003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8FKnOT/+DxpRFCz0OU9sHb2Cfo=" w:salt="C1cQICSvsaZxrLoZ+MGmx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CE316C"/>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2026-02-06T09:12:22Z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