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w:t>
      </w:r>
      <w:bookmarkStart w:id="0" w:name="_GoBack"/>
      <w:bookmarkEnd w:id="0"/>
      <w:r>
        <w:rPr>
          <w:rFonts w:hint="eastAsia" w:ascii="宋体" w:hAnsi="宋体"/>
          <w:szCs w:val="21"/>
        </w:rPr>
        <w:t>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2号开放式净值型银行理财计划产品说明书》、《温州银行“金鹿理财-普惠季享”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C1092221000145</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2021年6月1日</w:t>
            </w:r>
            <w:r>
              <w:rPr>
                <w:rFonts w:hint="eastAsia"/>
                <w:sz w:val="18"/>
                <w:szCs w:val="18"/>
                <w:u w:val="single"/>
              </w:rPr>
              <w:t>至</w:t>
            </w:r>
            <w:r>
              <w:rPr>
                <w:rFonts w:hint="eastAsia"/>
                <w:color w:val="000000"/>
                <w:sz w:val="18"/>
                <w:szCs w:val="18"/>
                <w:u w:val="single"/>
                <w:lang w:val="en-US" w:eastAsia="zh-CN"/>
              </w:rPr>
              <w:t>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：本理财计划成立日为2021年6月8日，从成立日起，每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本产品预计到期终止日为2031年6月8日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2号开放式净值型银行理财计划风险揭示书》、《温州银行“金鹿理财”银行理财计划合约》、《温州银行“金鹿理财-普惠季享”2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wlAOBQ3Q6EbpRw4KEDVFuTTPNk=" w:salt="n3V8fsP4j3fxg/xzJH8sR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7C01A6E"/>
    <w:rsid w:val="48113790"/>
    <w:rsid w:val="49C60CA3"/>
    <w:rsid w:val="4A5E2770"/>
    <w:rsid w:val="4A803D41"/>
    <w:rsid w:val="4EE753FB"/>
    <w:rsid w:val="4EEB4EDA"/>
    <w:rsid w:val="4F890433"/>
    <w:rsid w:val="50044A9D"/>
    <w:rsid w:val="504772D4"/>
    <w:rsid w:val="51824B96"/>
    <w:rsid w:val="51C72CF2"/>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0</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2026-02-13T07:13:07Z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