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bookmarkStart w:id="0" w:name="_GoBack"/>
      <w:bookmarkEnd w:id="0"/>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20002号开放式净值型银行理财计划产品说明书》、《温州银行“金鹿理财-温盈”20002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2020年1月9日</w:t>
            </w:r>
            <w:r>
              <w:rPr>
                <w:rFonts w:hint="eastAsia"/>
                <w:sz w:val="18"/>
                <w:szCs w:val="18"/>
                <w:u w:val="single"/>
              </w:rPr>
              <w:t>至</w:t>
            </w:r>
            <w:r>
              <w:rPr>
                <w:rFonts w:hint="eastAsia"/>
                <w:color w:val="000000"/>
                <w:sz w:val="18"/>
                <w:szCs w:val="18"/>
                <w:u w:val="single"/>
                <w:lang w:val="en-US" w:eastAsia="zh-CN"/>
              </w:rPr>
              <w:t>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：本理财计划成立日为2020年1月15日，从成立日起，每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20002号开放式净值型银行理财计划风险揭示书》、《温州银行“金鹿理财”银行理财计划合约》、《温州银行“金鹿理财-温盈”20002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O35YkIBw5zg2iUu9BYsG0HBhFQ=" w:salt="X22hi80ffowYOtJGzPjO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6D15309"/>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2026-02-13T07:15:53Z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