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26003</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26003</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601</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26003号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26003</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26003</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26003</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26003</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C1092226A000002</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2026年3月3日至</w:t>
            </w:r>
            <w:r>
              <w:rPr>
                <w:color w:val="000000"/>
                <w:sz w:val="18"/>
                <w:u w:val="single"/>
              </w:rPr>
              <w:t>2026年3月9日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2027年11月1日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2027年11月1日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46</w:t>
      </w:r>
      <w:r>
        <w:rPr>
          <w:rFonts w:hint="eastAsia"/>
          <w:sz w:val="18"/>
          <w:szCs w:val="18"/>
        </w:rPr>
        <w:t>，此时，(1.0</w:t>
      </w:r>
      <w:r>
        <w:rPr>
          <w:rFonts w:hint="eastAsia"/>
          <w:sz w:val="18"/>
          <w:szCs w:val="18"/>
          <w:lang w:val="en-US" w:eastAsia="zh-CN"/>
        </w:rPr>
        <w:t>46</w:t>
      </w:r>
      <w:r>
        <w:rPr>
          <w:rFonts w:hint="eastAsia"/>
          <w:sz w:val="18"/>
          <w:szCs w:val="18"/>
        </w:rPr>
        <w:t>/1.00-1)×365/601=</w:t>
      </w:r>
      <w:r>
        <w:rPr>
          <w:rFonts w:hint="eastAsia"/>
          <w:sz w:val="18"/>
          <w:szCs w:val="18"/>
          <w:lang w:val="en-US" w:eastAsia="zh-CN"/>
        </w:rPr>
        <w:t>2.79</w:t>
      </w:r>
      <w:r>
        <w:rPr>
          <w:rFonts w:hint="eastAsia"/>
          <w:sz w:val="18"/>
          <w:szCs w:val="18"/>
        </w:rPr>
        <w:t>%&gt;</w:t>
      </w:r>
      <w:r>
        <w:rPr>
          <w:rFonts w:hint="eastAsia"/>
          <w:sz w:val="18"/>
          <w:szCs w:val="18"/>
          <w:lang w:val="en-US" w:eastAsia="zh-CN"/>
        </w:rPr>
        <w:t>2.65</w:t>
      </w:r>
      <w:r>
        <w:rPr>
          <w:rFonts w:hint="eastAsia"/>
          <w:sz w:val="18"/>
          <w:szCs w:val="18"/>
        </w:rPr>
        <w:t>%，即投资收益超越业绩比较基准，则投资管理人对超过业绩比较基准部分收益收取浮动管理费，浮动管理费为：1,000,000.00×[1.</w:t>
      </w:r>
      <w:r>
        <w:rPr>
          <w:rFonts w:hint="eastAsia"/>
          <w:sz w:val="18"/>
          <w:szCs w:val="18"/>
          <w:lang w:val="en-US" w:eastAsia="zh-CN"/>
        </w:rPr>
        <w:t>046</w:t>
      </w:r>
      <w:r>
        <w:rPr>
          <w:rFonts w:hint="eastAsia"/>
          <w:sz w:val="18"/>
          <w:szCs w:val="18"/>
        </w:rPr>
        <w:t>-1.00×(1+</w:t>
      </w:r>
      <w:r>
        <w:rPr>
          <w:rFonts w:hint="eastAsia"/>
          <w:sz w:val="18"/>
          <w:szCs w:val="18"/>
          <w:lang w:val="en-US" w:eastAsia="zh-CN"/>
        </w:rPr>
        <w:t>2.65</w:t>
      </w:r>
      <w:r>
        <w:rPr>
          <w:rFonts w:hint="eastAsia"/>
          <w:sz w:val="18"/>
          <w:szCs w:val="18"/>
        </w:rPr>
        <w:t>%×601/365)]×80%=</w:t>
      </w:r>
      <w:r>
        <w:rPr>
          <w:rFonts w:hint="eastAsia"/>
          <w:sz w:val="18"/>
          <w:szCs w:val="18"/>
          <w:lang w:val="en-US" w:eastAsia="zh-CN"/>
        </w:rPr>
        <w:t>1892.60</w:t>
      </w:r>
      <w:r>
        <w:rPr>
          <w:rFonts w:hint="eastAsia"/>
          <w:sz w:val="18"/>
          <w:szCs w:val="18"/>
        </w:rPr>
        <w:t>（元）。扣除浮动管理费后，客户最终收益为：1,000,000.00×（1.0</w:t>
      </w:r>
      <w:r>
        <w:rPr>
          <w:rFonts w:hint="eastAsia"/>
          <w:sz w:val="18"/>
          <w:szCs w:val="18"/>
          <w:lang w:val="en-US" w:eastAsia="zh-CN"/>
        </w:rPr>
        <w:t>46</w:t>
      </w:r>
      <w:r>
        <w:rPr>
          <w:rFonts w:hint="eastAsia"/>
          <w:sz w:val="18"/>
          <w:szCs w:val="18"/>
        </w:rPr>
        <w:t>-1.00）-</w:t>
      </w:r>
      <w:r>
        <w:rPr>
          <w:rFonts w:hint="eastAsia"/>
          <w:sz w:val="18"/>
          <w:szCs w:val="18"/>
          <w:lang w:val="en-US" w:eastAsia="zh-CN"/>
        </w:rPr>
        <w:t>1892.60</w:t>
      </w:r>
      <w:r>
        <w:rPr>
          <w:rFonts w:hint="eastAsia"/>
          <w:sz w:val="18"/>
          <w:szCs w:val="18"/>
        </w:rPr>
        <w:t>=</w:t>
      </w:r>
      <w:r>
        <w:rPr>
          <w:rFonts w:hint="eastAsia"/>
          <w:sz w:val="18"/>
          <w:szCs w:val="18"/>
          <w:lang w:val="en-US" w:eastAsia="zh-CN"/>
        </w:rPr>
        <w:t>44107.40</w:t>
      </w:r>
      <w:r>
        <w:rPr>
          <w:rFonts w:hint="eastAsia"/>
          <w:sz w:val="18"/>
          <w:szCs w:val="18"/>
        </w:rPr>
        <w:t>（元），产品到期时，客户获得的实际收益相当于达到年化收益率水平为：</w:t>
      </w:r>
      <w:r>
        <w:rPr>
          <w:rFonts w:hint="eastAsia"/>
          <w:sz w:val="18"/>
          <w:szCs w:val="18"/>
          <w:lang w:val="en-US" w:eastAsia="zh-CN"/>
        </w:rPr>
        <w:t>44107.40</w:t>
      </w:r>
      <w:r>
        <w:rPr>
          <w:rFonts w:hint="eastAsia"/>
          <w:sz w:val="18"/>
          <w:szCs w:val="18"/>
        </w:rPr>
        <w:t>/1,000,000.00×365/601=</w:t>
      </w:r>
      <w:r>
        <w:rPr>
          <w:rFonts w:hint="eastAsia"/>
          <w:sz w:val="18"/>
          <w:szCs w:val="18"/>
          <w:lang w:val="en-US" w:eastAsia="zh-CN"/>
        </w:rPr>
        <w:t>2.68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%。到期时扣除托管费、销售服务费、固定管理费及其他费用（如有）后，如产品净值为1.0</w:t>
      </w:r>
      <w:r>
        <w:rPr>
          <w:rFonts w:hint="eastAsia"/>
          <w:sz w:val="18"/>
          <w:szCs w:val="18"/>
          <w:lang w:val="en-US" w:eastAsia="zh-CN"/>
        </w:rPr>
        <w:t>4</w:t>
      </w:r>
      <w:r>
        <w:rPr>
          <w:rFonts w:hint="eastAsia"/>
          <w:sz w:val="18"/>
          <w:szCs w:val="18"/>
        </w:rPr>
        <w:t>，此时，(1.0</w:t>
      </w:r>
      <w:r>
        <w:rPr>
          <w:rFonts w:hint="eastAsia"/>
          <w:sz w:val="18"/>
          <w:szCs w:val="18"/>
          <w:lang w:val="en-US" w:eastAsia="zh-CN"/>
        </w:rPr>
        <w:t>4</w:t>
      </w:r>
      <w:r>
        <w:rPr>
          <w:rFonts w:hint="eastAsia"/>
          <w:sz w:val="18"/>
          <w:szCs w:val="18"/>
        </w:rPr>
        <w:t>/1.00-1)×365/601=</w:t>
      </w:r>
      <w:r>
        <w:rPr>
          <w:rFonts w:hint="eastAsia"/>
          <w:sz w:val="18"/>
          <w:szCs w:val="18"/>
          <w:lang w:val="en-US" w:eastAsia="zh-CN"/>
        </w:rPr>
        <w:t>2.43</w:t>
      </w:r>
      <w:r>
        <w:rPr>
          <w:rFonts w:hint="eastAsia"/>
          <w:sz w:val="18"/>
          <w:szCs w:val="18"/>
        </w:rPr>
        <w:t>%&lt;</w:t>
      </w:r>
      <w:r>
        <w:rPr>
          <w:rFonts w:hint="eastAsia"/>
          <w:sz w:val="18"/>
          <w:szCs w:val="18"/>
          <w:lang w:val="en-US" w:eastAsia="zh-CN"/>
        </w:rPr>
        <w:t>2.65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4</w:t>
      </w:r>
      <w:r>
        <w:rPr>
          <w:rFonts w:hint="eastAsia"/>
          <w:sz w:val="18"/>
          <w:szCs w:val="18"/>
        </w:rPr>
        <w:t>-1.00）=</w:t>
      </w:r>
      <w:r>
        <w:rPr>
          <w:rFonts w:hint="eastAsia"/>
          <w:sz w:val="18"/>
          <w:szCs w:val="18"/>
          <w:lang w:val="en-US" w:eastAsia="zh-CN"/>
        </w:rPr>
        <w:t>4</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val="en-US" w:eastAsia="zh-CN"/>
        </w:rPr>
        <w:t>2.65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26003</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qFUWIHw7NZiuotAZCu7s9hw3M=" w:salt="CIhKUvsQT52gWxVT6m1sp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7150543"/>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1CA78C4"/>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13720</Characters>
  <Lines>101</Lines>
  <Paragraphs>28</Paragraphs>
  <TotalTime>1</TotalTime>
  <ScaleCrop>false</ScaleCrop>
  <LinksUpToDate>false</LinksUpToDate>
  <CharactersWithSpaces>14014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2026-02-28T03:09:36Z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