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20034号开放式净值型银行理财计划产品说明书》、《温州银行“金鹿理财-温盈”20034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2020年4月1日</w:t>
            </w:r>
            <w:r>
              <w:rPr>
                <w:rFonts w:hint="eastAsia"/>
                <w:sz w:val="18"/>
                <w:szCs w:val="18"/>
                <w:u w:val="single"/>
              </w:rPr>
              <w:t>至</w:t>
            </w:r>
            <w:r>
              <w:rPr>
                <w:rFonts w:hint="eastAsia"/>
                <w:color w:val="000000"/>
                <w:sz w:val="18"/>
                <w:szCs w:val="18"/>
                <w:u w:val="single"/>
                <w:lang w:val="en-US" w:eastAsia="zh-CN"/>
              </w:rPr>
              <w:t>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：本理财计划成立日为2020年4月8日，从成立日起，每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20034号开放式净值型银行理财计划风险揭示书》、《温州银行“金鹿理财”银行理财计划合约》、《温州银行“金鹿理财-温盈”20034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2OkqAW3IfCWfU7HEGhvErRTYjI=" w:salt="zPHiehibV0hUReLQjRxJ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247D95"/>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2026-03-23T02:18:48Z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