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20036号开放式净值型银行理财计划产品说明书》、《温州银行“金鹿理财-温盈”20036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2020年4月8日</w:t>
            </w:r>
            <w:r>
              <w:rPr>
                <w:rFonts w:hint="eastAsia"/>
                <w:sz w:val="18"/>
                <w:szCs w:val="18"/>
                <w:u w:val="single"/>
              </w:rPr>
              <w:t>至</w:t>
            </w:r>
            <w:r>
              <w:rPr>
                <w:rFonts w:hint="eastAsia"/>
                <w:color w:val="000000"/>
                <w:sz w:val="18"/>
                <w:szCs w:val="18"/>
                <w:u w:val="single"/>
                <w:lang w:val="en-US" w:eastAsia="zh-CN"/>
              </w:rPr>
              <w:t>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：本理财计划成立日为2020年4月15日，从成立日起，每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20036号开放式净值型银行理财计划风险揭示书》、《温州银行“金鹿理财”银行理财计划合约》、《温州银行“金鹿理财-温盈”20036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r7/XxVI1SP/XSO54rOxHrg9YN0=" w:salt="fffAAI+ZKtughaD9nHEpl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303AE2"/>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2026-03-27T07:16:22Z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