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20017号开放式净值型银行理财计划产品说明书》、《温州银行“金鹿理财-温盈”20017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2020年2月17日</w:t>
            </w:r>
            <w:r>
              <w:rPr>
                <w:rFonts w:hint="eastAsia"/>
                <w:sz w:val="18"/>
                <w:szCs w:val="18"/>
                <w:u w:val="single"/>
              </w:rPr>
              <w:t>至</w:t>
            </w:r>
            <w:r>
              <w:rPr>
                <w:rFonts w:hint="eastAsia"/>
                <w:color w:val="000000"/>
                <w:sz w:val="18"/>
                <w:szCs w:val="18"/>
                <w:u w:val="single"/>
                <w:lang w:val="en-US" w:eastAsia="zh-CN"/>
              </w:rPr>
              <w:t>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：本理财计划成立日为2020年2月24日，从成立日起，每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20017号开放式净值型银行理财计划风险揭示书》、《温州银行“金鹿理财”银行理财计划合约》、《温州银行“金鹿理财-温盈”20017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Zqvfiu/kpIO1ZYVjLM92Ub+jvs=" w:salt="UFyftZMqXoxMM8GR19ygp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CB0075B"/>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2026-04-07T01:44:52Z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