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20040号开放式净值型银行理财计划产品说明书》、《温州银行“金鹿理财-温盈”20040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2020年4月22日</w:t>
            </w:r>
            <w:r>
              <w:rPr>
                <w:rFonts w:hint="eastAsia"/>
                <w:sz w:val="18"/>
                <w:szCs w:val="18"/>
                <w:u w:val="single"/>
              </w:rPr>
              <w:t>至</w:t>
            </w:r>
            <w:r>
              <w:rPr>
                <w:rFonts w:hint="eastAsia"/>
                <w:color w:val="000000"/>
                <w:sz w:val="18"/>
                <w:szCs w:val="18"/>
                <w:u w:val="single"/>
                <w:lang w:val="en-US" w:eastAsia="zh-CN"/>
              </w:rPr>
              <w:t>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：本理财计划成立日为2020年4月29日，从成立日起，每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20040号开放式净值型银行理财计划风险揭示书》、《温州银行“金鹿理财”银行理财计划合约》、《温州银行“金鹿理财-温盈”20040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UzHAMAMHSiH0GilURZfXnkqsmY=" w:salt="zqEZPIBegT/aStssQrwhE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6882DE3"/>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2026-04-10T08:12:57Z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