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20023号开放式净值型银行理财计划产品说明书》、《温州银行“金鹿理财-温盈”20023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2020年3月2日</w:t>
            </w:r>
            <w:r>
              <w:rPr>
                <w:rFonts w:hint="eastAsia"/>
                <w:sz w:val="18"/>
                <w:szCs w:val="18"/>
                <w:u w:val="single"/>
              </w:rPr>
              <w:t>至</w:t>
            </w:r>
            <w:r>
              <w:rPr>
                <w:rFonts w:hint="eastAsia"/>
                <w:color w:val="000000"/>
                <w:sz w:val="18"/>
                <w:szCs w:val="18"/>
                <w:u w:val="single"/>
                <w:lang w:val="en-US" w:eastAsia="zh-CN"/>
              </w:rPr>
              <w:t>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：本理财计划成立日为2020年3月9日，从成立日起，每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20023号开放式净值型银行理财计划风险揭示书》、《温州银行“金鹿理财”银行理财计划合约》、《温州银行“金鹿理财-温盈”20023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meYrjwlkj3mZIuPOLlH/5Y7vFs=" w:salt="S9E1vN8J8y6QaaKrQgNY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A85F00"/>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2026-04-17T09:30:55Z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