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20030号开放式净值型银行理财计划产品说明书》、《温州银行“金鹿理财-温盈”20030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2020年3月17日</w:t>
            </w:r>
            <w:r>
              <w:rPr>
                <w:rFonts w:hint="eastAsia"/>
                <w:sz w:val="18"/>
                <w:szCs w:val="18"/>
                <w:u w:val="single"/>
              </w:rPr>
              <w:t>至</w:t>
            </w:r>
            <w:r>
              <w:rPr>
                <w:rFonts w:hint="eastAsia"/>
                <w:color w:val="000000"/>
                <w:sz w:val="18"/>
                <w:szCs w:val="18"/>
                <w:u w:val="single"/>
                <w:lang w:val="en-US" w:eastAsia="zh-CN"/>
              </w:rPr>
              <w:t>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：本理财计划成立日为2020年3月24日，从成立日起，每</w:t>
      </w:r>
      <w:r>
        <w:rPr>
          <w:rFonts w:ascii="宋体" w:hAnsi="宋体"/>
          <w:sz w:val="18"/>
        </w:rPr>
        <w:t>【</w:t>
      </w:r>
      <w:r>
        <w:rPr>
          <w:rFonts w:hint="eastAsia" w:ascii="宋体" w:hAnsi="宋体"/>
          <w:color w:val="000000"/>
          <w:sz w:val="18"/>
        </w:rPr>
        <w:t>372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w:t>
      </w:r>
      <w:bookmarkStart w:id="0" w:name="_GoBack"/>
      <w:bookmarkEnd w:id="0"/>
      <w:r>
        <w:rPr>
          <w:rFonts w:ascii="宋体" w:hAnsi="宋体"/>
          <w:sz w:val="18"/>
        </w:rPr>
        <w:t>因非工作日调整大于或小于【</w:t>
      </w:r>
      <w:r>
        <w:rPr>
          <w:rFonts w:hint="eastAsia" w:ascii="宋体" w:hAnsi="宋体"/>
          <w:color w:val="000000"/>
          <w:sz w:val="18"/>
        </w:rPr>
        <w:t>372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20030号开放式净值型银行理财计划风险揭示书》、《温州银行“金鹿理财”银行理财计划合约》、《温州银行“金鹿理财-温盈”20030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3HVq1ktNul4KUEhtDrgMEGVVVI=" w:salt="Pveer+4dSF0VV/yBXmaCv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1751A"/>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5</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2026-04-24T01:37:31Z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