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20046号开放式净值型银行理财计划产品说明书》、《温州银行“金鹿理财-温盈”20046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2020年5月6日</w:t>
            </w:r>
            <w:r>
              <w:rPr>
                <w:rFonts w:hint="eastAsia"/>
                <w:sz w:val="18"/>
                <w:szCs w:val="18"/>
                <w:u w:val="single"/>
              </w:rPr>
              <w:t>至</w:t>
            </w:r>
            <w:r>
              <w:rPr>
                <w:rFonts w:hint="eastAsia"/>
                <w:color w:val="000000"/>
                <w:sz w:val="18"/>
                <w:szCs w:val="18"/>
                <w:u w:val="single"/>
                <w:lang w:val="en-US" w:eastAsia="zh-CN"/>
              </w:rPr>
              <w:t>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：本理财计划成立日为2020年5月13日，从成立日起，每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20046号开放式净值型银行理财计划风险揭示书》、《温州银行“金鹿理财”银行理财计划合约》、《温州银行“金鹿理财-温盈”20046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NlJUimpQ40F7U6SZZLelpXkZas=" w:salt="uj8ShG6m9uBcsyXnpSMm0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19325B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4</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2026-04-24T01:38:10Z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