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26014</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26014</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26014</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26014</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26014</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26014</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26014</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C1092226000021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2026年4月30日</w:t>
            </w:r>
            <w:r>
              <w:rPr>
                <w:rFonts w:hint="eastAsia"/>
                <w:sz w:val="18"/>
                <w:u w:val="single"/>
              </w:rPr>
              <w:t>至</w:t>
            </w:r>
            <w:r>
              <w:rPr>
                <w:color w:val="000000"/>
                <w:sz w:val="18"/>
                <w:u w:val="single"/>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2027年6月10日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1.028，此时， (1.028/1.00-1)×365/399=2.56%&gt;2.45%，即投资收益超越业绩比较基准，则投资管理人对超过业绩比较基准部分收益收取浮动管理费，浮动管理费为：1,000,000.00×[1.028-1.00×(1+2.45%×399/365)]×80%=974.25（元）。扣除浮动管理费后，客户最终收益为：1,000,000.00×（1.028-1.00）-974.25=27025.75（元），产品到期时，客户获得的实际收益相当于达到年化收益率水平为：27025.75/1,000,000.00×365/399=2.47%。</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1.025，此时，(1.025/1.00-1)×365/399=2.29%&lt;2.45%，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26014</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thoXpt5oyqMsNrqnmGRhlflVSac=" w:salt="65BpE1+AqwJdAXjP7Q6LP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BE45E8"/>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42D784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13478</Characters>
  <Lines>100</Lines>
  <Paragraphs>28</Paragraphs>
  <TotalTime>10</TotalTime>
  <ScaleCrop>false</ScaleCrop>
  <LinksUpToDate>false</LinksUpToDate>
  <CharactersWithSpaces>13773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2026-04-24T01:32:30Z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