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bookmarkStart w:id="0" w:name="_GoBack"/>
      <w:bookmarkEnd w:id="0"/>
      <w:r>
        <w:rPr>
          <w:rFonts w:hint="eastAsia" w:ascii="黑体" w:eastAsia="黑体"/>
          <w:sz w:val="30"/>
          <w:szCs w:val="30"/>
        </w:rPr>
        <w:t>温州银行“</w:t>
      </w:r>
      <w:r>
        <w:rPr>
          <w:rFonts w:hint="eastAsia" w:ascii="黑体" w:eastAsia="黑体"/>
          <w:sz w:val="30"/>
          <w:szCs w:val="30"/>
          <w:lang w:eastAsia="zh-CN"/>
        </w:rPr>
        <w:t>温银理财</w:t>
      </w:r>
      <w:r>
        <w:rPr>
          <w:rFonts w:hint="eastAsia" w:ascii="黑体" w:eastAsia="黑体"/>
          <w:sz w:val="30"/>
          <w:szCs w:val="30"/>
        </w:rPr>
        <w:t>-普惠季享”</w:t>
      </w:r>
      <w:r>
        <w:rPr>
          <w:rFonts w:ascii="黑体" w:eastAsia="黑体"/>
          <w:color w:val="000000"/>
          <w:sz w:val="30"/>
          <w:szCs w:val="30"/>
          <w:u w:val="single"/>
        </w:rPr>
        <w:t>26010</w:t>
      </w:r>
      <w:r>
        <w:rPr>
          <w:rFonts w:hint="eastAsia" w:ascii="黑体" w:eastAsia="黑体"/>
          <w:sz w:val="30"/>
          <w:szCs w:val="30"/>
        </w:rPr>
        <w:t>号（共同富裕特别款）银行理财计划风险揭示书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w:t>
      </w:r>
      <w:r>
        <w:rPr>
          <w:rFonts w:hint="eastAsia"/>
          <w:szCs w:val="21"/>
          <w:lang w:eastAsia="zh-CN"/>
        </w:rPr>
        <w:t>温银理财</w:t>
      </w:r>
      <w:r>
        <w:rPr>
          <w:rFonts w:hint="eastAsia" w:ascii="宋体" w:hAnsi="宋体"/>
          <w:szCs w:val="21"/>
        </w:rPr>
        <w:t>-</w:t>
      </w:r>
      <w:r>
        <w:rPr>
          <w:rFonts w:hint="eastAsia"/>
          <w:szCs w:val="21"/>
        </w:rPr>
        <w:t>普惠季享”</w:t>
      </w:r>
      <w:r>
        <w:rPr>
          <w:color w:val="000000"/>
          <w:szCs w:val="21"/>
          <w:u w:val="single"/>
        </w:rPr>
        <w:t>26010</w:t>
      </w:r>
      <w:r>
        <w:rPr>
          <w:rFonts w:hint="eastAsia"/>
          <w:szCs w:val="21"/>
        </w:rPr>
        <w:t>号（共同富裕特别款）银行理财计划，投资类型属于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color w:val="000000"/>
          <w:szCs w:val="21"/>
          <w:u w:val="single"/>
          <w:lang w:val="en-US" w:eastAsia="zh-CN"/>
        </w:rPr>
        <w:t>119</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本理财产品适合客户：经温州银行评估为稳健型、平衡型、进取型、激进型的新签约个人投资者或定向邀约的客户群体。</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w:t>
      </w:r>
      <w:r>
        <w:rPr>
          <w:rFonts w:hint="eastAsia" w:ascii="宋体" w:hAnsi="宋体"/>
          <w:szCs w:val="21"/>
          <w:lang w:eastAsia="zh-CN"/>
        </w:rPr>
        <w:t>温银理财</w:t>
      </w:r>
      <w:r>
        <w:rPr>
          <w:rFonts w:hint="eastAsia" w:ascii="宋体" w:hAnsi="宋体"/>
          <w:szCs w:val="21"/>
        </w:rPr>
        <w:t>-普惠季享”</w:t>
      </w:r>
      <w:r>
        <w:rPr>
          <w:rFonts w:ascii="宋体"/>
          <w:color w:val="000000"/>
          <w:szCs w:val="21"/>
          <w:u w:val="single"/>
        </w:rPr>
        <w:t>26010</w:t>
      </w:r>
      <w:r>
        <w:rPr>
          <w:rFonts w:hint="eastAsia" w:ascii="宋体" w:hAnsi="宋体"/>
          <w:szCs w:val="21"/>
        </w:rPr>
        <w:t>号</w:t>
      </w:r>
      <w:r>
        <w:rPr>
          <w:rFonts w:hint="eastAsia"/>
          <w:szCs w:val="21"/>
        </w:rPr>
        <w:t>（共同富裕特别款）</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w:t>
      </w:r>
      <w:r>
        <w:rPr>
          <w:rFonts w:hint="eastAsia" w:ascii="宋体" w:hAnsi="宋体"/>
          <w:szCs w:val="21"/>
          <w:lang w:val="en-US" w:eastAsia="zh-CN"/>
        </w:rPr>
        <w:t>金鹿</w:t>
      </w:r>
      <w:r>
        <w:rPr>
          <w:rFonts w:hint="eastAsia" w:ascii="宋体" w:hAnsi="宋体"/>
          <w:szCs w:val="21"/>
          <w:lang w:eastAsia="zh-CN"/>
        </w:rPr>
        <w:t>理财</w:t>
      </w:r>
      <w:r>
        <w:rPr>
          <w:rFonts w:hint="eastAsia" w:ascii="宋体" w:hAnsi="宋体"/>
          <w:szCs w:val="21"/>
        </w:rPr>
        <w:t>”银行理财计划合约》、《温州银行“</w:t>
      </w:r>
      <w:r>
        <w:rPr>
          <w:rFonts w:hint="eastAsia" w:ascii="宋体" w:hAnsi="宋体"/>
          <w:szCs w:val="21"/>
          <w:lang w:eastAsia="zh-CN"/>
        </w:rPr>
        <w:t>温银理财</w:t>
      </w:r>
      <w:r>
        <w:rPr>
          <w:rFonts w:hint="eastAsia" w:ascii="宋体" w:hAnsi="宋体"/>
          <w:szCs w:val="21"/>
        </w:rPr>
        <w:t>-普惠季享”</w:t>
      </w:r>
      <w:r>
        <w:rPr>
          <w:rFonts w:ascii="宋体"/>
          <w:color w:val="000000"/>
          <w:szCs w:val="21"/>
          <w:u w:val="single"/>
        </w:rPr>
        <w:t>26010</w:t>
      </w:r>
      <w:r>
        <w:rPr>
          <w:rFonts w:hint="eastAsia" w:ascii="宋体" w:hAnsi="宋体"/>
          <w:szCs w:val="21"/>
        </w:rPr>
        <w:t>号</w:t>
      </w:r>
      <w:r>
        <w:rPr>
          <w:rFonts w:hint="eastAsia"/>
          <w:szCs w:val="21"/>
        </w:rPr>
        <w:t>（共同富裕特别款）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9"/>
        <w:adjustRightInd w:val="0"/>
        <w:snapToGrid w:val="0"/>
        <w:spacing w:before="0" w:beforeAutospacing="0" w:after="0" w:afterAutospacing="0" w:line="360" w:lineRule="auto"/>
        <w:jc w:val="center"/>
        <w:rPr>
          <w:rFonts w:ascii="黑体" w:eastAsia="黑体"/>
          <w:bCs/>
          <w:sz w:val="30"/>
          <w:szCs w:val="30"/>
        </w:rPr>
      </w:pPr>
    </w:p>
    <w:p>
      <w:pPr>
        <w:pStyle w:val="19"/>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w:t>
      </w:r>
      <w:r>
        <w:rPr>
          <w:rFonts w:hint="eastAsia" w:ascii="黑体" w:eastAsia="黑体"/>
          <w:bCs/>
          <w:sz w:val="30"/>
          <w:szCs w:val="30"/>
          <w:lang w:eastAsia="zh-CN"/>
        </w:rPr>
        <w:t>温银理财</w:t>
      </w:r>
      <w:r>
        <w:rPr>
          <w:rFonts w:hint="eastAsia" w:ascii="黑体" w:eastAsia="黑体"/>
          <w:bCs/>
          <w:sz w:val="30"/>
          <w:szCs w:val="30"/>
        </w:rPr>
        <w:t>-普惠季享”</w:t>
      </w:r>
      <w:r>
        <w:rPr>
          <w:rFonts w:ascii="黑体" w:eastAsia="黑体"/>
          <w:color w:val="000000"/>
          <w:sz w:val="30"/>
          <w:szCs w:val="30"/>
          <w:u w:val="single"/>
        </w:rPr>
        <w:t>26010</w:t>
      </w:r>
      <w:r>
        <w:rPr>
          <w:rFonts w:hint="eastAsia" w:ascii="黑体" w:eastAsia="黑体"/>
          <w:bCs/>
          <w:sz w:val="30"/>
          <w:szCs w:val="30"/>
        </w:rPr>
        <w:t>号（共同富裕特别款）</w:t>
      </w:r>
    </w:p>
    <w:p>
      <w:pPr>
        <w:pStyle w:val="19"/>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本产品适合于经温州银行评估为稳健型、平衡型、进取型、激进型的新签约个人投资者或定向邀约的客户群体。</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w:t>
      </w:r>
      <w:r>
        <w:rPr>
          <w:rFonts w:hint="eastAsia"/>
          <w:sz w:val="18"/>
          <w:szCs w:val="18"/>
          <w:lang w:eastAsia="zh-CN"/>
        </w:rPr>
        <w:t>温银理财</w:t>
      </w:r>
      <w:r>
        <w:rPr>
          <w:rFonts w:hint="eastAsia" w:ascii="宋体" w:hAnsi="宋体"/>
          <w:sz w:val="18"/>
          <w:szCs w:val="18"/>
        </w:rPr>
        <w:t>-</w:t>
      </w:r>
      <w:r>
        <w:rPr>
          <w:rFonts w:hint="eastAsia"/>
          <w:sz w:val="18"/>
          <w:szCs w:val="18"/>
        </w:rPr>
        <w:t>普惠季享”</w:t>
      </w:r>
      <w:r>
        <w:rPr>
          <w:color w:val="000000"/>
          <w:sz w:val="18"/>
          <w:szCs w:val="18"/>
        </w:rPr>
        <w:t>26010</w:t>
      </w:r>
      <w:r>
        <w:rPr>
          <w:rFonts w:hint="eastAsia"/>
          <w:sz w:val="18"/>
          <w:szCs w:val="18"/>
        </w:rPr>
        <w:t>号（共同富裕特别款）银行理财计划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9"/>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。在本理财产品存续期内，本理财产品风险等级可能会进行调整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lang w:eastAsia="zh-CN"/>
              </w:rPr>
              <w:t>温银理财</w:t>
            </w:r>
            <w:r>
              <w:rPr>
                <w:sz w:val="18"/>
                <w:szCs w:val="18"/>
              </w:rPr>
              <w:t>-</w:t>
            </w:r>
            <w:r>
              <w:rPr>
                <w:rFonts w:hint="eastAsia"/>
                <w:sz w:val="18"/>
                <w:szCs w:val="18"/>
              </w:rPr>
              <w:t>普惠季享</w:t>
            </w:r>
            <w:r>
              <w:rPr>
                <w:sz w:val="18"/>
                <w:szCs w:val="18"/>
              </w:rPr>
              <w:t>”</w:t>
            </w:r>
            <w:r>
              <w:rPr>
                <w:color w:val="000000"/>
                <w:sz w:val="18"/>
                <w:szCs w:val="18"/>
                <w:u w:val="single"/>
              </w:rPr>
              <w:t>26010</w:t>
            </w:r>
            <w:r>
              <w:rPr>
                <w:sz w:val="18"/>
                <w:szCs w:val="18"/>
              </w:rPr>
              <w:t>号</w:t>
            </w:r>
            <w:r>
              <w:rPr>
                <w:rFonts w:hint="eastAsia"/>
                <w:sz w:val="18"/>
                <w:szCs w:val="18"/>
              </w:rPr>
              <w:t>（共同富裕特别款）银行理财计划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JX2610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C1092226000008</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119</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发售规模不超过10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color w:val="000000"/>
                <w:sz w:val="18"/>
                <w:u w:val="single"/>
              </w:rPr>
              <w:t>2026年5月14日</w:t>
            </w:r>
            <w:r>
              <w:rPr>
                <w:rFonts w:hint="eastAsia"/>
                <w:sz w:val="18"/>
                <w:u w:val="single"/>
              </w:rPr>
              <w:t>至</w:t>
            </w:r>
            <w:r>
              <w:rPr>
                <w:color w:val="000000"/>
                <w:sz w:val="18"/>
                <w:u w:val="single"/>
              </w:rPr>
              <w:t>2026年5月20日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rFonts w:hint="eastAsia"/>
                <w:color w:val="000000"/>
                <w:sz w:val="18"/>
                <w:szCs w:val="18"/>
                <w:u w:val="single"/>
                <w:lang w:val="en-US" w:eastAsia="zh-CN"/>
              </w:rPr>
              <w:t>2026年5月21日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24"/>
                <w:u w:val="single"/>
              </w:rPr>
            </w:pPr>
            <w:r>
              <w:rPr>
                <w:rFonts w:hint="eastAsia"/>
                <w:color w:val="000000"/>
                <w:sz w:val="18"/>
                <w:szCs w:val="24"/>
                <w:u w:val="single"/>
                <w:lang w:val="en-US" w:eastAsia="zh-CN"/>
              </w:rPr>
              <w:t>2026年9月17日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lang w:val="en-US" w:eastAsia="zh-CN"/>
              </w:rPr>
              <w:t>2.15%</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ascii="宋体" w:hAnsi="宋体"/>
                <w:sz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hint="eastAsia" w:eastAsia="宋体"/>
                <w:sz w:val="18"/>
                <w:szCs w:val="18"/>
                <w:lang w:eastAsia="zh-CN"/>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ascii="宋体" w:hAnsi="宋体"/>
                <w:sz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djustRightInd w:val="0"/>
              <w:snapToGrid w:val="0"/>
              <w:spacing w:line="288" w:lineRule="auto"/>
              <w:rPr>
                <w:rFonts w:ascii="宋体" w:hAnsi="宋体"/>
                <w:sz w:val="18"/>
              </w:rPr>
            </w:pPr>
            <w:r>
              <w:rPr>
                <w:rFonts w:hint="eastAsia" w:ascii="宋体" w:hAnsi="宋体"/>
                <w:sz w:val="18"/>
              </w:rPr>
              <w:t>单一投资者持有份额不得超过总份额的50%；投资者持有份额的计算以管理人登记为准。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，包括但不限于银行间市场和证券交易所市场债权性资产、非标准化债权资产、资产管理计划、信托计划、各类受（收）益权、资产支持证券、票据资产、证券投资基金、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、投资比例</w:t>
      </w:r>
    </w:p>
    <w:tbl>
      <w:tblPr>
        <w:tblStyle w:val="9"/>
        <w:tblW w:w="0" w:type="auto"/>
        <w:jc w:val="center"/>
        <w:tblLayout w:type="fixed"/>
        <w:tblCellMar>
          <w:top w:w="0" w:type="dxa"/>
          <w:left w:w="108" w:type="dxa"/>
          <w:bottom w:w="0" w:type="dxa"/>
          <w:right w:w="108" w:type="dxa"/>
        </w:tblCellMar>
      </w:tblPr>
      <w:tblGrid>
        <w:gridCol w:w="2203"/>
        <w:gridCol w:w="5494"/>
        <w:gridCol w:w="1703"/>
      </w:tblGrid>
      <w:tr>
        <w:tblPrEx>
          <w:tblCellMar>
            <w:top w:w="0" w:type="dxa"/>
            <w:left w:w="108" w:type="dxa"/>
            <w:bottom w:w="0" w:type="dxa"/>
            <w:right w:w="108" w:type="dxa"/>
          </w:tblCellMar>
        </w:tblPrEx>
        <w:trPr>
          <w:trHeight w:val="270" w:hRule="atLeast"/>
          <w:jc w:val="center"/>
        </w:trPr>
        <w:tc>
          <w:tcPr>
            <w:tcW w:w="2203"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494"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203"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20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20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203"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kern w:val="0"/>
                <w:sz w:val="18"/>
                <w:szCs w:val="18"/>
              </w:rPr>
            </w:pPr>
            <w:r>
              <w:rPr>
                <w:rFonts w:hint="eastAsia" w:ascii="宋体" w:hAnsi="宋体" w:cs="宋体"/>
                <w:color w:val="000000"/>
                <w:kern w:val="0"/>
                <w:sz w:val="18"/>
                <w:szCs w:val="18"/>
                <w:lang w:val="en-US" w:eastAsia="zh-CN"/>
              </w:rPr>
              <w:t>其他类资产</w:t>
            </w:r>
          </w:p>
        </w:tc>
        <w:tc>
          <w:tcPr>
            <w:tcW w:w="5494" w:type="dxa"/>
            <w:tcBorders>
              <w:top w:val="nil"/>
              <w:left w:val="nil"/>
              <w:bottom w:val="single" w:color="auto" w:sz="4" w:space="0"/>
              <w:right w:val="single" w:color="auto" w:sz="4" w:space="0"/>
            </w:tcBorders>
            <w:vAlign w:val="center"/>
          </w:tcPr>
          <w:p>
            <w:pPr>
              <w:widowControl/>
              <w:jc w:val="both"/>
              <w:rPr>
                <w:rFonts w:ascii="宋体" w:hAnsi="宋体" w:cs="宋体"/>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本产品采用安全性和流动性优先、追求适度收益的投资策略。本理财产品计划将不低于7</w:t>
      </w:r>
      <w:r>
        <w:rPr>
          <w:sz w:val="18"/>
          <w:szCs w:val="18"/>
        </w:rPr>
        <w:t>0</w:t>
      </w:r>
      <w:r>
        <w:rPr>
          <w:rFonts w:hint="eastAsia"/>
          <w:sz w:val="18"/>
          <w:szCs w:val="18"/>
        </w:rPr>
        <w:t>%的债权类资产投资于浙江省内优质资产，助力浙江高质量发展建设共同富裕示范区。</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sz w:val="18"/>
          <w:szCs w:val="18"/>
        </w:rPr>
      </w:pPr>
      <w:r>
        <w:rPr>
          <w:rFonts w:hint="eastAsia"/>
          <w:b/>
          <w:bCs/>
          <w:sz w:val="18"/>
          <w:szCs w:val="18"/>
        </w:rPr>
        <w:t>投资合作机构</w:t>
      </w:r>
    </w:p>
    <w:p>
      <w:pPr>
        <w:adjustRightInd w:val="0"/>
        <w:snapToGrid w:val="0"/>
        <w:spacing w:line="278"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w:t>
      </w:r>
      <w:r>
        <w:rPr>
          <w:rFonts w:hint="eastAsia" w:ascii="宋体" w:hAnsi="宋体"/>
          <w:sz w:val="18"/>
          <w:szCs w:val="18"/>
        </w:rPr>
        <w:t>投资者可登录温州银行网站（</w:t>
      </w:r>
      <w:r>
        <w:fldChar w:fldCharType="begin"/>
      </w:r>
      <w:r>
        <w:instrText xml:space="preserve"> HYPERLINK "http://www.wzbank.cn" </w:instrText>
      </w:r>
      <w:r>
        <w:fldChar w:fldCharType="separate"/>
      </w:r>
      <w:r>
        <w:rPr>
          <w:rStyle w:val="21"/>
          <w:rFonts w:hint="eastAsia" w:ascii="宋体" w:hAnsi="宋体"/>
          <w:sz w:val="18"/>
          <w:szCs w:val="18"/>
        </w:rPr>
        <w:t>www.wzbank.cn</w:t>
      </w:r>
      <w:r>
        <w:rPr>
          <w:rStyle w:val="21"/>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b/>
          <w:bCs/>
          <w:sz w:val="18"/>
          <w:szCs w:val="18"/>
        </w:rPr>
      </w:pPr>
      <w:r>
        <w:rPr>
          <w:rFonts w:hint="eastAsia"/>
          <w:sz w:val="18"/>
          <w:szCs w:val="18"/>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numPr>
          <w:ilvl w:val="0"/>
          <w:numId w:val="1"/>
        </w:numPr>
        <w:adjustRightInd w:val="0"/>
        <w:snapToGrid w:val="0"/>
        <w:spacing w:line="286" w:lineRule="auto"/>
        <w:rPr>
          <w:sz w:val="18"/>
          <w:szCs w:val="18"/>
        </w:rPr>
      </w:pPr>
      <w:r>
        <w:rPr>
          <w:rFonts w:hint="eastAsia"/>
          <w:sz w:val="18"/>
          <w:szCs w:val="18"/>
        </w:rPr>
        <w:t>理财产品投资所涉及的交易市场遇法定节假日或其他原因暂停营业时。</w:t>
      </w:r>
    </w:p>
    <w:p>
      <w:pPr>
        <w:adjustRightInd w:val="0"/>
        <w:snapToGrid w:val="0"/>
        <w:spacing w:line="286" w:lineRule="auto"/>
        <w:rPr>
          <w:b/>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b/>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b/>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b/>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本产品业绩比较基准为</w:t>
      </w:r>
      <w:r>
        <w:rPr>
          <w:rFonts w:hint="eastAsia"/>
          <w:color w:val="000000"/>
          <w:sz w:val="18"/>
          <w:szCs w:val="18"/>
          <w:lang w:val="en-US" w:eastAsia="zh-CN"/>
        </w:rPr>
        <w:t>2.15%</w:t>
      </w:r>
      <w:r>
        <w:rPr>
          <w:rFonts w:hint="eastAsia"/>
          <w:sz w:val="18"/>
          <w:szCs w:val="18"/>
        </w:rPr>
        <w:t>（年化）。本产品业绩比较基准仅作为计提产品浮动管理费的依据，不构成温州银行对该理财产品的任何收益承诺。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3）法律法规规定或监管机构认定的其他情形。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lang w:val="en-US" w:eastAsia="zh-CN"/>
        </w:rPr>
        <w:t>2026年9月17日</w:t>
      </w:r>
      <w:r>
        <w:rPr>
          <w:rFonts w:hint="eastAsia"/>
          <w:sz w:val="18"/>
        </w:rPr>
        <w:t xml:space="preserve">，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 </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rFonts w:hint="eastAsia"/>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119天。假设产品业绩比较基准为2.15%。到期时扣除托管费、销售服务费、固定管理费及其他费用（如有）后，如产品净值为1.0075，此时，(1.0075/1.00-1)×365/119=2.30%&gt;2.15%，即投资收益超越业绩比较基准，则投资管理人对超过业绩比较基准部分收益收取浮动管理费，浮动管理费为：1,000,000.00×[1.0075-1.00×(1+2.15%×119/365)]×80%=392.33（元）。扣除浮动管理费后，客户最终收益为：1,000,000.00×（1.0075-1.00）-261.92=7107.67（元），产品到期时，客户获得的实际收益相当于达到年化收益率水平为：7107.67/1,000,000.00×365/119=2.18%。</w:t>
      </w:r>
    </w:p>
    <w:p>
      <w:pPr>
        <w:adjustRightInd w:val="0"/>
        <w:snapToGrid w:val="0"/>
        <w:spacing w:line="286" w:lineRule="auto"/>
        <w:rPr>
          <w:rFonts w:hint="eastAsia"/>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119天。假设产品业绩比较基准为2.15%。到期时扣除托管费、销售服务费、固定管理费及其他费用（如有）后，如产品净值为1.0068，此时，(1.0068/1.00-1)×365/119=2.09%&lt;2.15%，即投资收益未达到业绩比较基准，则投资管理人不收取浮动管理费，客户最终收益为：1,000,000.00×(1.0068-1.00）=6800（元）。</w:t>
      </w:r>
    </w:p>
    <w:p>
      <w:pPr>
        <w:adjustRightInd w:val="0"/>
        <w:snapToGrid w:val="0"/>
        <w:spacing w:line="286" w:lineRule="auto"/>
        <w:rPr>
          <w:rFonts w:hint="eastAsia"/>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119天。假设产品业绩比较基准为2.15%，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2"/>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2"/>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2"/>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2"/>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变化或波动所引起的资产损失的可能性。宏观经济运行的周期性，财政政策、货币政策等国家政策的变动，以及政府对证券市场的监管政策的变化等因素都会对债券市场</w:t>
      </w:r>
      <w:r>
        <w:rPr>
          <w:rFonts w:hint="eastAsia"/>
          <w:sz w:val="18"/>
          <w:szCs w:val="18"/>
        </w:rPr>
        <w:t>或证券市场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sz w:val="18"/>
          <w:szCs w:val="18"/>
        </w:rPr>
      </w:pPr>
      <w:r>
        <w:rPr>
          <w:rFonts w:hint="eastAsia"/>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rPr>
      </w:pP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3"/>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3"/>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3"/>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3"/>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w:t>
      </w:r>
      <w:r>
        <w:rPr>
          <w:rFonts w:hint="eastAsia"/>
          <w:sz w:val="18"/>
          <w:szCs w:val="18"/>
          <w:lang w:eastAsia="zh-CN"/>
        </w:rPr>
        <w:t>温银理财</w:t>
      </w:r>
      <w:r>
        <w:rPr>
          <w:rFonts w:hint="eastAsia"/>
          <w:sz w:val="18"/>
          <w:szCs w:val="18"/>
        </w:rPr>
        <w:t>-普惠季享”</w:t>
      </w:r>
      <w:r>
        <w:rPr>
          <w:color w:val="000000"/>
          <w:sz w:val="18"/>
          <w:szCs w:val="18"/>
        </w:rPr>
        <w:t>26010</w:t>
      </w:r>
      <w:r>
        <w:rPr>
          <w:rFonts w:hint="eastAsia"/>
          <w:sz w:val="18"/>
          <w:szCs w:val="18"/>
        </w:rPr>
        <w:t>号（共同富裕特别款）银行理财计划风险揭示书》、《温州银行“</w:t>
      </w:r>
      <w:r>
        <w:rPr>
          <w:rFonts w:hint="eastAsia"/>
          <w:sz w:val="18"/>
          <w:szCs w:val="18"/>
          <w:lang w:val="en-US" w:eastAsia="zh-CN"/>
        </w:rPr>
        <w:t>金鹿</w:t>
      </w:r>
      <w:r>
        <w:rPr>
          <w:rFonts w:hint="eastAsia"/>
          <w:sz w:val="18"/>
          <w:szCs w:val="18"/>
          <w:lang w:eastAsia="zh-CN"/>
        </w:rPr>
        <w:t>理财</w:t>
      </w:r>
      <w:r>
        <w:rPr>
          <w:rFonts w:hint="eastAsia"/>
          <w:sz w:val="18"/>
          <w:szCs w:val="18"/>
        </w:rPr>
        <w:t>”银行理财计划合约》和《温州银行理财产品投资者权益须知》等销售文件中的内容与本产品说明书不一致的，以本产品说明书约定的内容为准。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AF9267"/>
    <w:multiLevelType w:val="singleLevel"/>
    <w:tmpl w:val="CFAF9267"/>
    <w:lvl w:ilvl="0" w:tentative="0">
      <w:start w:val="1"/>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10D8C1A8"/>
    <w:multiLevelType w:val="singleLevel"/>
    <w:tmpl w:val="10D8C1A8"/>
    <w:lvl w:ilvl="0" w:tentative="0">
      <w:start w:val="1"/>
      <w:numFmt w:val="decimal"/>
      <w:lvlText w:val="%1."/>
      <w:lvlJc w:val="left"/>
      <w:pPr>
        <w:tabs>
          <w:tab w:val="left" w:pos="312"/>
        </w:tabs>
      </w:pPr>
    </w:lvl>
  </w:abstractNum>
  <w:num w:numId="1">
    <w:abstractNumId w:val="0"/>
  </w:num>
  <w:num w:numId="2">
    <w:abstractNumId w:val="2"/>
  </w:num>
  <w:num w:numId="3">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oNotDisplayPageBoundaries w:val="1"/>
  <w:bordersDoNotSurroundHeader w:val="1"/>
  <w:bordersDoNotSurroundFooter w:val="1"/>
  <w:documentProtection w:edit="readOnly" w:enforcement="1" w:cryptProviderType="rsaFull" w:cryptAlgorithmClass="hash" w:cryptAlgorithmType="typeAny" w:cryptAlgorithmSid="4" w:cryptSpinCount="0" w:hash="DEqp2VCt+lj0u4ukIls8Ui4NSz0=" w:salt="ErSL5kuL/jFGECeFXaT5gA=="/>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3008C"/>
    <w:rsid w:val="000306F8"/>
    <w:rsid w:val="00040175"/>
    <w:rsid w:val="0008627F"/>
    <w:rsid w:val="000D7B26"/>
    <w:rsid w:val="00167A3A"/>
    <w:rsid w:val="0018605A"/>
    <w:rsid w:val="00193A6B"/>
    <w:rsid w:val="001A0A54"/>
    <w:rsid w:val="001D7791"/>
    <w:rsid w:val="00203720"/>
    <w:rsid w:val="0021703D"/>
    <w:rsid w:val="00232935"/>
    <w:rsid w:val="002548E8"/>
    <w:rsid w:val="0026075F"/>
    <w:rsid w:val="002C0BA1"/>
    <w:rsid w:val="002D7A72"/>
    <w:rsid w:val="00314FC3"/>
    <w:rsid w:val="0035671B"/>
    <w:rsid w:val="00365E9A"/>
    <w:rsid w:val="00385222"/>
    <w:rsid w:val="003F5708"/>
    <w:rsid w:val="004344AA"/>
    <w:rsid w:val="00437A63"/>
    <w:rsid w:val="00450A70"/>
    <w:rsid w:val="004813F0"/>
    <w:rsid w:val="0048415F"/>
    <w:rsid w:val="004E13C1"/>
    <w:rsid w:val="004E1DA8"/>
    <w:rsid w:val="0052217B"/>
    <w:rsid w:val="0055724A"/>
    <w:rsid w:val="005A1716"/>
    <w:rsid w:val="005B73A6"/>
    <w:rsid w:val="005D4428"/>
    <w:rsid w:val="00617ABD"/>
    <w:rsid w:val="00633DBA"/>
    <w:rsid w:val="00693A8D"/>
    <w:rsid w:val="006E13FD"/>
    <w:rsid w:val="00766CF2"/>
    <w:rsid w:val="0078088F"/>
    <w:rsid w:val="007828DA"/>
    <w:rsid w:val="007A7805"/>
    <w:rsid w:val="007D3753"/>
    <w:rsid w:val="007D7937"/>
    <w:rsid w:val="008157FA"/>
    <w:rsid w:val="00832709"/>
    <w:rsid w:val="00866A5E"/>
    <w:rsid w:val="008D04F3"/>
    <w:rsid w:val="009115E2"/>
    <w:rsid w:val="009E3776"/>
    <w:rsid w:val="00A31BAB"/>
    <w:rsid w:val="00A91900"/>
    <w:rsid w:val="00AF4509"/>
    <w:rsid w:val="00B032AE"/>
    <w:rsid w:val="00B16E47"/>
    <w:rsid w:val="00B92FF5"/>
    <w:rsid w:val="00BA2E46"/>
    <w:rsid w:val="00BB181E"/>
    <w:rsid w:val="00BB1978"/>
    <w:rsid w:val="00BB27A2"/>
    <w:rsid w:val="00BD4A8F"/>
    <w:rsid w:val="00BE5DC7"/>
    <w:rsid w:val="00C050F3"/>
    <w:rsid w:val="00C05158"/>
    <w:rsid w:val="00C34FBE"/>
    <w:rsid w:val="00CE4861"/>
    <w:rsid w:val="00CE5B75"/>
    <w:rsid w:val="00D161AF"/>
    <w:rsid w:val="00D46424"/>
    <w:rsid w:val="00D83E12"/>
    <w:rsid w:val="00D93DE5"/>
    <w:rsid w:val="00DA4425"/>
    <w:rsid w:val="00E0326C"/>
    <w:rsid w:val="00E2610C"/>
    <w:rsid w:val="00E303C0"/>
    <w:rsid w:val="00E31C39"/>
    <w:rsid w:val="00E320AD"/>
    <w:rsid w:val="00E373AB"/>
    <w:rsid w:val="00E72696"/>
    <w:rsid w:val="00E77F9A"/>
    <w:rsid w:val="00E9738F"/>
    <w:rsid w:val="00EC19FF"/>
    <w:rsid w:val="00F32AE1"/>
    <w:rsid w:val="00F33115"/>
    <w:rsid w:val="00F46191"/>
    <w:rsid w:val="00F81FE4"/>
    <w:rsid w:val="00FF3E7B"/>
    <w:rsid w:val="011D0799"/>
    <w:rsid w:val="018C5462"/>
    <w:rsid w:val="01B25DFE"/>
    <w:rsid w:val="020D5912"/>
    <w:rsid w:val="02B70580"/>
    <w:rsid w:val="03C64591"/>
    <w:rsid w:val="03E90339"/>
    <w:rsid w:val="05256D34"/>
    <w:rsid w:val="06ED4D4B"/>
    <w:rsid w:val="06F87141"/>
    <w:rsid w:val="07BB40C7"/>
    <w:rsid w:val="08EF38EC"/>
    <w:rsid w:val="09284DBF"/>
    <w:rsid w:val="09446D7E"/>
    <w:rsid w:val="0A1675AA"/>
    <w:rsid w:val="0AC90772"/>
    <w:rsid w:val="0EAE5E5E"/>
    <w:rsid w:val="0F4B6711"/>
    <w:rsid w:val="104F44D5"/>
    <w:rsid w:val="109B1F8D"/>
    <w:rsid w:val="10B17669"/>
    <w:rsid w:val="110C0711"/>
    <w:rsid w:val="113D4838"/>
    <w:rsid w:val="14237D99"/>
    <w:rsid w:val="14C54C98"/>
    <w:rsid w:val="161D1528"/>
    <w:rsid w:val="17BF4271"/>
    <w:rsid w:val="19E25A8D"/>
    <w:rsid w:val="19EC4338"/>
    <w:rsid w:val="1A433876"/>
    <w:rsid w:val="1A5F6148"/>
    <w:rsid w:val="1DBC7AEC"/>
    <w:rsid w:val="1E481090"/>
    <w:rsid w:val="1EBD7528"/>
    <w:rsid w:val="20DB6550"/>
    <w:rsid w:val="21E136F4"/>
    <w:rsid w:val="22A04815"/>
    <w:rsid w:val="23535C37"/>
    <w:rsid w:val="26531D8B"/>
    <w:rsid w:val="275A751E"/>
    <w:rsid w:val="27BD2B01"/>
    <w:rsid w:val="28076A45"/>
    <w:rsid w:val="2ACF0E36"/>
    <w:rsid w:val="2D1D2B95"/>
    <w:rsid w:val="2F7E1AF7"/>
    <w:rsid w:val="2F862BC5"/>
    <w:rsid w:val="2FDA2962"/>
    <w:rsid w:val="305C00F9"/>
    <w:rsid w:val="30DC7477"/>
    <w:rsid w:val="313A7139"/>
    <w:rsid w:val="31AC46DA"/>
    <w:rsid w:val="32683389"/>
    <w:rsid w:val="3318043A"/>
    <w:rsid w:val="33F1533A"/>
    <w:rsid w:val="34F321CC"/>
    <w:rsid w:val="36C936FE"/>
    <w:rsid w:val="38FC2B02"/>
    <w:rsid w:val="39626EBF"/>
    <w:rsid w:val="39766FF2"/>
    <w:rsid w:val="3A015690"/>
    <w:rsid w:val="3A3C4BCB"/>
    <w:rsid w:val="3A9532FB"/>
    <w:rsid w:val="3B57FF03"/>
    <w:rsid w:val="3BB23156"/>
    <w:rsid w:val="3BBF210A"/>
    <w:rsid w:val="3BFBD5F2"/>
    <w:rsid w:val="3C5B2CDB"/>
    <w:rsid w:val="3D150741"/>
    <w:rsid w:val="3E2566A4"/>
    <w:rsid w:val="3F7E5351"/>
    <w:rsid w:val="4146226E"/>
    <w:rsid w:val="434002F8"/>
    <w:rsid w:val="43712A5A"/>
    <w:rsid w:val="4409550D"/>
    <w:rsid w:val="45A13E49"/>
    <w:rsid w:val="462B298E"/>
    <w:rsid w:val="4769700F"/>
    <w:rsid w:val="485937D1"/>
    <w:rsid w:val="4E424101"/>
    <w:rsid w:val="4E9D337C"/>
    <w:rsid w:val="4EFE40C2"/>
    <w:rsid w:val="51F53730"/>
    <w:rsid w:val="54133033"/>
    <w:rsid w:val="546F0E0A"/>
    <w:rsid w:val="56865A7D"/>
    <w:rsid w:val="56AB5155"/>
    <w:rsid w:val="57313966"/>
    <w:rsid w:val="58121B96"/>
    <w:rsid w:val="583E376D"/>
    <w:rsid w:val="58E34C34"/>
    <w:rsid w:val="5A6C6059"/>
    <w:rsid w:val="5D0B2C53"/>
    <w:rsid w:val="5DD76B10"/>
    <w:rsid w:val="5E014390"/>
    <w:rsid w:val="5E3633EC"/>
    <w:rsid w:val="5F4A6202"/>
    <w:rsid w:val="616E34C6"/>
    <w:rsid w:val="61E21802"/>
    <w:rsid w:val="623D1E92"/>
    <w:rsid w:val="62715C60"/>
    <w:rsid w:val="627B657A"/>
    <w:rsid w:val="64A6112D"/>
    <w:rsid w:val="64C0477E"/>
    <w:rsid w:val="661104BF"/>
    <w:rsid w:val="699C4EA7"/>
    <w:rsid w:val="6AEC752C"/>
    <w:rsid w:val="6D15771F"/>
    <w:rsid w:val="6F6944D6"/>
    <w:rsid w:val="718A5772"/>
    <w:rsid w:val="76592994"/>
    <w:rsid w:val="79632EC7"/>
    <w:rsid w:val="7AFF2EFC"/>
    <w:rsid w:val="7F6E34E0"/>
    <w:rsid w:val="BDC7AFFB"/>
    <w:rsid w:val="BDFF5D3E"/>
    <w:rsid w:val="BFFF61E0"/>
    <w:rsid w:val="E81F8FE0"/>
    <w:rsid w:val="EB7A3EF3"/>
    <w:rsid w:val="FBAF34BD"/>
    <w:rsid w:val="FEEF77FE"/>
    <w:rsid w:val="FF5F55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2"/>
    <w:unhideWhenUsed/>
    <w:qFormat/>
    <w:uiPriority w:val="99"/>
    <w:pPr>
      <w:jc w:val="left"/>
    </w:pPr>
  </w:style>
  <w:style w:type="paragraph" w:styleId="3">
    <w:name w:val="Plain Text"/>
    <w:basedOn w:val="1"/>
    <w:link w:val="13"/>
    <w:unhideWhenUsed/>
    <w:qFormat/>
    <w:uiPriority w:val="99"/>
    <w:rPr>
      <w:rFonts w:ascii="宋体" w:hAnsi="Courier New"/>
      <w:kern w:val="0"/>
      <w:sz w:val="20"/>
      <w:szCs w:val="21"/>
    </w:rPr>
  </w:style>
  <w:style w:type="paragraph" w:styleId="4">
    <w:name w:val="Balloon Text"/>
    <w:basedOn w:val="1"/>
    <w:link w:val="14"/>
    <w:unhideWhenUsed/>
    <w:qFormat/>
    <w:uiPriority w:val="99"/>
    <w:rPr>
      <w:sz w:val="18"/>
      <w:szCs w:val="18"/>
    </w:rPr>
  </w:style>
  <w:style w:type="paragraph" w:styleId="5">
    <w:name w:val="footer"/>
    <w:basedOn w:val="1"/>
    <w:link w:val="15"/>
    <w:unhideWhenUsed/>
    <w:qFormat/>
    <w:uiPriority w:val="99"/>
    <w:pPr>
      <w:tabs>
        <w:tab w:val="center" w:pos="4153"/>
        <w:tab w:val="right" w:pos="8306"/>
      </w:tabs>
      <w:snapToGrid w:val="0"/>
      <w:jc w:val="left"/>
    </w:pPr>
    <w:rPr>
      <w:kern w:val="0"/>
      <w:sz w:val="18"/>
      <w:szCs w:val="18"/>
    </w:rPr>
  </w:style>
  <w:style w:type="paragraph" w:styleId="6">
    <w:name w:val="header"/>
    <w:basedOn w:val="1"/>
    <w:link w:val="16"/>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qFormat/>
    <w:uiPriority w:val="99"/>
    <w:rPr>
      <w:sz w:val="21"/>
      <w:szCs w:val="21"/>
    </w:rPr>
  </w:style>
  <w:style w:type="character" w:customStyle="1" w:styleId="12">
    <w:name w:val="批注文字 字符"/>
    <w:link w:val="2"/>
    <w:qFormat/>
    <w:uiPriority w:val="99"/>
    <w:rPr>
      <w:rFonts w:ascii="Times New Roman" w:hAnsi="Times New Roman"/>
      <w:kern w:val="2"/>
      <w:sz w:val="21"/>
    </w:rPr>
  </w:style>
  <w:style w:type="character" w:customStyle="1" w:styleId="13">
    <w:name w:val="纯文本 字符"/>
    <w:link w:val="3"/>
    <w:qFormat/>
    <w:uiPriority w:val="99"/>
    <w:rPr>
      <w:rFonts w:ascii="宋体" w:hAnsi="Courier New" w:eastAsia="宋体" w:cs="Courier New"/>
      <w:szCs w:val="21"/>
    </w:rPr>
  </w:style>
  <w:style w:type="character" w:customStyle="1" w:styleId="14">
    <w:name w:val="批注框文本 字符"/>
    <w:link w:val="4"/>
    <w:semiHidden/>
    <w:qFormat/>
    <w:uiPriority w:val="99"/>
    <w:rPr>
      <w:kern w:val="2"/>
      <w:sz w:val="18"/>
      <w:szCs w:val="18"/>
    </w:rPr>
  </w:style>
  <w:style w:type="character" w:customStyle="1" w:styleId="15">
    <w:name w:val="页脚 字符"/>
    <w:link w:val="5"/>
    <w:qFormat/>
    <w:uiPriority w:val="99"/>
    <w:rPr>
      <w:rFonts w:ascii="Calibri" w:hAnsi="Calibri" w:eastAsia="宋体" w:cs="Times New Roman"/>
      <w:kern w:val="0"/>
      <w:sz w:val="18"/>
      <w:szCs w:val="18"/>
    </w:rPr>
  </w:style>
  <w:style w:type="character" w:customStyle="1" w:styleId="16">
    <w:name w:val="页眉 字符"/>
    <w:link w:val="6"/>
    <w:qFormat/>
    <w:uiPriority w:val="99"/>
    <w:rPr>
      <w:kern w:val="2"/>
      <w:sz w:val="18"/>
      <w:szCs w:val="18"/>
    </w:rPr>
  </w:style>
  <w:style w:type="character" w:customStyle="1" w:styleId="17">
    <w:name w:val="批注主题 字符"/>
    <w:link w:val="8"/>
    <w:semiHidden/>
    <w:qFormat/>
    <w:uiPriority w:val="99"/>
    <w:rPr>
      <w:rFonts w:ascii="Times New Roman" w:hAnsi="Times New Roman"/>
      <w:b/>
      <w:bCs/>
      <w:kern w:val="2"/>
      <w:sz w:val="21"/>
    </w:rPr>
  </w:style>
  <w:style w:type="paragraph" w:styleId="18">
    <w:name w:val="List Paragraph"/>
    <w:basedOn w:val="1"/>
    <w:qFormat/>
    <w:uiPriority w:val="34"/>
    <w:pPr>
      <w:widowControl/>
      <w:ind w:firstLine="420"/>
    </w:pPr>
    <w:rPr>
      <w:rFonts w:cs="宋体"/>
      <w:kern w:val="0"/>
      <w:szCs w:val="21"/>
    </w:rPr>
  </w:style>
  <w:style w:type="paragraph" w:customStyle="1" w:styleId="19">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0">
    <w:name w:val="_Style 19"/>
    <w:unhideWhenUsed/>
    <w:qFormat/>
    <w:uiPriority w:val="99"/>
    <w:rPr>
      <w:rFonts w:ascii="Times New Roman" w:hAnsi="Times New Roman" w:eastAsia="宋体" w:cs="Times New Roman"/>
      <w:kern w:val="2"/>
      <w:sz w:val="21"/>
      <w:lang w:val="en-US" w:eastAsia="zh-CN" w:bidi="ar-SA"/>
    </w:rPr>
  </w:style>
  <w:style w:type="character" w:customStyle="1" w:styleId="21">
    <w:name w:val="15"/>
    <w:basedOn w:val="10"/>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9</Pages>
  <Words>12984</Words>
  <Characters>13556</Characters>
  <Lines>100</Lines>
  <Paragraphs>28</Paragraphs>
  <TotalTime>9</TotalTime>
  <ScaleCrop>false</ScaleCrop>
  <LinksUpToDate>false</LinksUpToDate>
  <CharactersWithSpaces>13851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2022-03-10T07:10:00Z</dcterms:created>
  <dc:creator>陈浩</dc:creator>
  <cp:lastModifiedBy>应心茹</cp:lastModifiedBy>
  <dcterms:modified xsi:type="dcterms:W3CDTF">2026-05-09T03:26:04Z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7BE945DF9C5BDACD6E3DF8643B3AC595_43</vt:lpwstr>
  </property>
  <property fmtid="{D5CDD505-2E9C-101B-9397-08002B2CF9AE}" pid="4" name="KSOTemplateDocerSaveRecord">
    <vt:lpwstr>eyJoZGlkIjoiOWFlMGRmNzM2NmMzYTA5NGU1NWRhNDhiYzdmNjdlMDYiLCJ1c2VySWQiOiIzOTQzMjAxMTgifQ==</vt:lpwstr>
  </property>
</Properties>
</file>