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19006号开放式净值型银行理财计划产品说明书》、《温州银行“金鹿理财-温盈”19006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2019年7月4日</w:t>
            </w:r>
            <w:r>
              <w:rPr>
                <w:rFonts w:hint="eastAsia"/>
                <w:sz w:val="18"/>
                <w:szCs w:val="18"/>
                <w:u w:val="single"/>
              </w:rPr>
              <w:t>至</w:t>
            </w:r>
            <w:r>
              <w:rPr>
                <w:rFonts w:hint="eastAsia"/>
                <w:color w:val="000000"/>
                <w:sz w:val="18"/>
                <w:szCs w:val="18"/>
                <w:u w:val="single"/>
                <w:lang w:val="en-US" w:eastAsia="zh-CN"/>
              </w:rPr>
              <w:t>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：本理财计划成立日为2019年7月10日，从成立日起，每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19006号开放式净值型银行理财计划风险揭示书》、《温州银行“金鹿理财”银行理财计划合约》、《温州银行“金鹿理财-温盈”19006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MQChJ01PyhCM7u28GOB4IubMAo=" w:salt="vJ89R91WHrh9nJNrwZvlS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FA459EE"/>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2026-05-18T02:08:52Z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