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20037号开放式净值型银行理财计划产品说明书》、《温州银行“金鹿理财-温盈”20037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2020年4月8日</w:t>
            </w:r>
            <w:r>
              <w:rPr>
                <w:rFonts w:hint="eastAsia"/>
                <w:sz w:val="18"/>
                <w:szCs w:val="18"/>
                <w:u w:val="single"/>
              </w:rPr>
              <w:t>至</w:t>
            </w:r>
            <w:r>
              <w:rPr>
                <w:rFonts w:hint="eastAsia"/>
                <w:color w:val="000000"/>
                <w:sz w:val="18"/>
                <w:szCs w:val="18"/>
                <w:u w:val="single"/>
                <w:lang w:val="en-US" w:eastAsia="zh-CN"/>
              </w:rPr>
              <w:t>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：本理财计划成立日为2020年4月15日，从成立日起，每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20037号开放式净值型银行理财计划风险揭示书》、《温州银行“金鹿理财”银行理财计划合约》、《温州银行“金鹿理财-温盈”20037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FCJlBR9d42FXowPgVLsAvnGu7A=" w:salt="mAD4qFMSMTENMGgObMhzF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973AD6"/>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2026-05-18T02:15:33Z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