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20054号开放式净值型银行理财计划产品说明书》、《温州银行“金鹿理财-温盈”20054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2020年5月27日</w:t>
            </w:r>
            <w:r>
              <w:rPr>
                <w:rFonts w:hint="eastAsia"/>
                <w:sz w:val="18"/>
                <w:szCs w:val="18"/>
                <w:u w:val="single"/>
              </w:rPr>
              <w:t>至</w:t>
            </w:r>
            <w:r>
              <w:rPr>
                <w:rFonts w:hint="eastAsia"/>
                <w:color w:val="000000"/>
                <w:sz w:val="18"/>
                <w:szCs w:val="18"/>
                <w:u w:val="single"/>
                <w:lang w:val="en-US" w:eastAsia="zh-CN"/>
              </w:rPr>
              <w:t>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：本理财计划成立日为2020年6月3日，从成立日起，每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20054号开放式净值型银行理财计划风险揭示书》、《温州银行“金鹿理财”银行理财计划合约》、《温州银行“金鹿理财-温盈”20054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choTQb9QOBbXJwJdBHOmIRYr6c=" w:salt="noQxqpemZKGQUf2aOOGt0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4540A7"/>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2026-05-18T02:15:05Z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