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19008</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19008号开放式净值型银行理财计划产品说明书》、《温州银行“金鹿理财-温盈”19008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19008</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温盈”19008号开放式净值型银行理财计划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w:t>
      </w:r>
      <w:bookmarkStart w:id="0" w:name="_GoBack"/>
      <w:bookmarkEnd w:id="0"/>
      <w:r>
        <w:rPr>
          <w:rFonts w:hint="eastAsia"/>
          <w:sz w:val="18"/>
          <w:szCs w:val="18"/>
        </w:rPr>
        <w:t>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19008</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YJ1008</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C1092219000302</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2019年7月11日</w:t>
            </w:r>
            <w:r>
              <w:rPr>
                <w:rFonts w:hint="eastAsia"/>
                <w:sz w:val="18"/>
                <w:szCs w:val="18"/>
                <w:u w:val="single"/>
              </w:rPr>
              <w:t>至</w:t>
            </w:r>
            <w:r>
              <w:rPr>
                <w:rFonts w:hint="eastAsia"/>
                <w:color w:val="000000"/>
                <w:sz w:val="18"/>
                <w:szCs w:val="18"/>
                <w:u w:val="single"/>
                <w:lang w:val="en-US" w:eastAsia="zh-CN"/>
              </w:rPr>
              <w:t>2019年7月16日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《温州银行“金鹿理财-温盈”19008号开放式净值型（第i期）银行理财计划开放认购（申购）申请书》。投资运作周期到期时，该周期内的资金收益情况根据所投资资产组合的实际运作情况确定。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：本理财计划成立日为2019年7月17日，从成立日起，每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本产品预计到期终止日为2029年7月17日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19008号开放式净值型银行理财计划风险揭示书》、《温州银行“金鹿理财”银行理财计划合约》、《温州银行“金鹿理财-温盈”19008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2026-01-30T02:52:27Z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